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8CA3" w14:textId="77777777" w:rsidR="007E2527" w:rsidRPr="00111C16" w:rsidRDefault="00111C16" w:rsidP="009907C0">
      <w:pPr>
        <w:pStyle w:val="CopyHeadline1stLevel"/>
        <w:rPr>
          <w:lang w:val="en-US"/>
        </w:rPr>
      </w:pPr>
      <w:r>
        <w:rPr>
          <w:lang w:val="en-US"/>
        </w:rPr>
        <w:t>Press release</w:t>
      </w:r>
    </w:p>
    <w:p w14:paraId="413F17AA" w14:textId="77777777" w:rsidR="005E7A87" w:rsidRPr="00111C16" w:rsidRDefault="009907C0" w:rsidP="00B530BE">
      <w:pPr>
        <w:pStyle w:val="CopyTrennlinie"/>
        <w:rPr>
          <w:noProof w:val="0"/>
          <w:lang w:val="en-US"/>
        </w:rPr>
      </w:pPr>
      <w:r w:rsidRPr="00111C16">
        <w:rPr>
          <w:noProof w:val="0"/>
          <w:lang w:val="en-US"/>
        </w:rPr>
        <w:tab/>
      </w:r>
    </w:p>
    <w:p w14:paraId="2C7BB56B" w14:textId="77777777" w:rsidR="008B6E4E" w:rsidRPr="00111C16" w:rsidRDefault="000E0329" w:rsidP="009907C0">
      <w:pPr>
        <w:pStyle w:val="IndexDate"/>
        <w:ind w:right="2268"/>
        <w:rPr>
          <w:lang w:val="en-US"/>
        </w:rPr>
      </w:pPr>
      <w:r w:rsidRPr="00111C16">
        <w:rPr>
          <w:lang w:val="en-US"/>
        </w:rPr>
        <w:t>Stuttgart,</w:t>
      </w:r>
      <w:r w:rsidR="00111C16">
        <w:rPr>
          <w:lang w:val="en-US"/>
        </w:rPr>
        <w:t xml:space="preserve"> August 31, 2021</w:t>
      </w:r>
    </w:p>
    <w:p w14:paraId="20EB897D" w14:textId="77777777" w:rsidR="001C1B19" w:rsidRPr="00111C16" w:rsidRDefault="00AD0964" w:rsidP="001C1B19">
      <w:pPr>
        <w:spacing w:after="360" w:line="320" w:lineRule="atLeast"/>
        <w:ind w:right="2268"/>
        <w:rPr>
          <w:rFonts w:eastAsia="Calibri"/>
          <w:b/>
          <w:color w:val="auto"/>
          <w:sz w:val="34"/>
          <w:szCs w:val="34"/>
          <w:lang w:val="en-US"/>
        </w:rPr>
      </w:pPr>
      <w:r w:rsidRPr="00111C16">
        <w:rPr>
          <w:rFonts w:eastAsia="Calibri"/>
          <w:b/>
          <w:color w:val="auto"/>
          <w:sz w:val="34"/>
          <w:szCs w:val="34"/>
          <w:lang w:val="en-US"/>
        </w:rPr>
        <w:t xml:space="preserve">MAHLE </w:t>
      </w:r>
      <w:r w:rsidR="00111C16">
        <w:rPr>
          <w:rFonts w:eastAsia="Calibri"/>
          <w:b/>
          <w:color w:val="auto"/>
          <w:sz w:val="34"/>
          <w:szCs w:val="34"/>
          <w:lang w:val="en-US"/>
        </w:rPr>
        <w:t>achieves turnaround</w:t>
      </w:r>
    </w:p>
    <w:p w14:paraId="07063C0F" w14:textId="48E9E702" w:rsidR="00AD0964" w:rsidRPr="00111C16" w:rsidRDefault="00E42148" w:rsidP="00D4678F">
      <w:pPr>
        <w:numPr>
          <w:ilvl w:val="0"/>
          <w:numId w:val="28"/>
        </w:numPr>
        <w:spacing w:after="360" w:line="320" w:lineRule="atLeast"/>
        <w:ind w:right="2268"/>
        <w:contextualSpacing/>
        <w:rPr>
          <w:rFonts w:eastAsia="Calibri" w:cs="Arial"/>
          <w:color w:val="auto"/>
          <w:sz w:val="22"/>
          <w:szCs w:val="22"/>
          <w:lang w:val="en-US"/>
        </w:rPr>
      </w:pPr>
      <w:r>
        <w:rPr>
          <w:rFonts w:eastAsia="Calibri" w:cs="Arial"/>
          <w:color w:val="auto"/>
          <w:sz w:val="22"/>
          <w:szCs w:val="22"/>
          <w:lang w:val="en-US"/>
        </w:rPr>
        <w:t>I</w:t>
      </w:r>
      <w:r w:rsidR="00111C16">
        <w:rPr>
          <w:rFonts w:eastAsia="Calibri" w:cs="Arial"/>
          <w:color w:val="auto"/>
          <w:sz w:val="22"/>
          <w:szCs w:val="22"/>
          <w:lang w:val="en-US"/>
        </w:rPr>
        <w:t xml:space="preserve">n the first half of 2021, sales grew by </w:t>
      </w:r>
      <w:r w:rsidR="00AD0964" w:rsidRPr="00111C16">
        <w:rPr>
          <w:rFonts w:eastAsia="Calibri" w:cs="Arial"/>
          <w:color w:val="auto"/>
          <w:sz w:val="22"/>
          <w:szCs w:val="22"/>
          <w:lang w:val="en-US"/>
        </w:rPr>
        <w:t>3</w:t>
      </w:r>
      <w:r w:rsidR="002E0430">
        <w:rPr>
          <w:rFonts w:eastAsia="Calibri" w:cs="Arial"/>
          <w:color w:val="auto"/>
          <w:sz w:val="22"/>
          <w:szCs w:val="22"/>
          <w:lang w:val="en-US"/>
        </w:rPr>
        <w:t>2</w:t>
      </w:r>
      <w:r w:rsidR="00AD0964" w:rsidRPr="00111C16">
        <w:rPr>
          <w:rFonts w:eastAsia="Calibri" w:cs="Arial"/>
          <w:color w:val="auto"/>
          <w:sz w:val="22"/>
          <w:szCs w:val="22"/>
          <w:lang w:val="en-US"/>
        </w:rPr>
        <w:t xml:space="preserve"> </w:t>
      </w:r>
      <w:r w:rsidR="00111C16">
        <w:rPr>
          <w:rFonts w:eastAsia="Calibri" w:cs="Arial"/>
          <w:color w:val="auto"/>
          <w:sz w:val="22"/>
          <w:szCs w:val="22"/>
          <w:lang w:val="en-US"/>
        </w:rPr>
        <w:t xml:space="preserve">percent, </w:t>
      </w:r>
      <w:r>
        <w:rPr>
          <w:rFonts w:eastAsia="Calibri" w:cs="Arial"/>
          <w:color w:val="auto"/>
          <w:sz w:val="22"/>
          <w:szCs w:val="22"/>
          <w:lang w:val="en-US"/>
        </w:rPr>
        <w:t>more strongly</w:t>
      </w:r>
      <w:r w:rsidR="00111C16">
        <w:rPr>
          <w:rFonts w:eastAsia="Calibri" w:cs="Arial"/>
          <w:color w:val="auto"/>
          <w:sz w:val="22"/>
          <w:szCs w:val="22"/>
          <w:lang w:val="en-US"/>
        </w:rPr>
        <w:t xml:space="preserve"> than the market</w:t>
      </w:r>
    </w:p>
    <w:p w14:paraId="153AAF0B" w14:textId="60CF78E0" w:rsidR="00597D9E" w:rsidRPr="00111C16" w:rsidRDefault="008B0BE3" w:rsidP="00D4678F">
      <w:pPr>
        <w:numPr>
          <w:ilvl w:val="0"/>
          <w:numId w:val="28"/>
        </w:numPr>
        <w:spacing w:after="360" w:line="320" w:lineRule="atLeast"/>
        <w:ind w:right="2268"/>
        <w:contextualSpacing/>
        <w:rPr>
          <w:rFonts w:eastAsia="Calibri" w:cs="Arial"/>
          <w:color w:val="auto"/>
          <w:sz w:val="22"/>
          <w:szCs w:val="22"/>
          <w:lang w:val="en-US"/>
        </w:rPr>
      </w:pPr>
      <w:r>
        <w:rPr>
          <w:rFonts w:eastAsia="Calibri" w:cs="Arial"/>
          <w:color w:val="auto"/>
          <w:sz w:val="22"/>
          <w:szCs w:val="22"/>
          <w:lang w:val="en-US"/>
        </w:rPr>
        <w:t>T</w:t>
      </w:r>
      <w:r w:rsidR="00111C16">
        <w:rPr>
          <w:rFonts w:eastAsia="Calibri" w:cs="Arial"/>
          <w:color w:val="auto"/>
          <w:sz w:val="22"/>
          <w:szCs w:val="22"/>
          <w:lang w:val="en-US"/>
        </w:rPr>
        <w:t>urnaround achieved with positive consolidated result</w:t>
      </w:r>
    </w:p>
    <w:p w14:paraId="0759F731" w14:textId="77777777" w:rsidR="00342F0C" w:rsidRPr="00111C16" w:rsidRDefault="00111C16" w:rsidP="00111C16">
      <w:pPr>
        <w:numPr>
          <w:ilvl w:val="0"/>
          <w:numId w:val="28"/>
        </w:numPr>
        <w:spacing w:after="360" w:line="320" w:lineRule="atLeast"/>
        <w:ind w:right="2268"/>
        <w:contextualSpacing/>
        <w:rPr>
          <w:rFonts w:eastAsia="Calibri" w:cs="Arial"/>
          <w:color w:val="auto"/>
          <w:sz w:val="22"/>
          <w:szCs w:val="22"/>
          <w:lang w:val="en-US"/>
        </w:rPr>
      </w:pPr>
      <w:r>
        <w:rPr>
          <w:rFonts w:eastAsia="Calibri" w:cs="Arial"/>
          <w:color w:val="auto"/>
          <w:sz w:val="22"/>
          <w:szCs w:val="22"/>
          <w:lang w:val="en-US"/>
        </w:rPr>
        <w:t xml:space="preserve">Many risks give reason to expect more volatile second half of 2021 </w:t>
      </w:r>
    </w:p>
    <w:p w14:paraId="216CBD23" w14:textId="77777777" w:rsidR="00597D9E" w:rsidRPr="00111C16" w:rsidRDefault="00597D9E" w:rsidP="00597D9E">
      <w:pPr>
        <w:numPr>
          <w:ilvl w:val="0"/>
          <w:numId w:val="28"/>
        </w:numPr>
        <w:spacing w:after="0" w:line="320" w:lineRule="atLeast"/>
        <w:ind w:right="2268"/>
        <w:contextualSpacing/>
        <w:rPr>
          <w:rFonts w:eastAsia="Calibri" w:cs="Arial"/>
          <w:color w:val="auto"/>
          <w:sz w:val="22"/>
          <w:szCs w:val="22"/>
          <w:lang w:val="en-US"/>
        </w:rPr>
      </w:pPr>
      <w:r w:rsidRPr="00111C16">
        <w:rPr>
          <w:rFonts w:eastAsia="Calibri" w:cs="Arial"/>
          <w:color w:val="auto"/>
          <w:sz w:val="22"/>
          <w:szCs w:val="22"/>
          <w:lang w:val="en-US"/>
        </w:rPr>
        <w:t xml:space="preserve">MAHLE CEO Michael Frick: </w:t>
      </w:r>
      <w:r w:rsidR="00111C16">
        <w:rPr>
          <w:rFonts w:eastAsia="Calibri" w:cs="Arial"/>
          <w:color w:val="auto"/>
          <w:sz w:val="22"/>
          <w:szCs w:val="22"/>
          <w:lang w:val="en-US"/>
        </w:rPr>
        <w:t xml:space="preserve">“We have become more profitable and offer powerful new technologies for sustainable mobility.” </w:t>
      </w:r>
    </w:p>
    <w:p w14:paraId="63A0B33E" w14:textId="77777777" w:rsidR="00D4678F" w:rsidRPr="00111C16" w:rsidRDefault="00597D9E" w:rsidP="00597D9E">
      <w:pPr>
        <w:numPr>
          <w:ilvl w:val="0"/>
          <w:numId w:val="28"/>
        </w:numPr>
        <w:spacing w:after="360" w:line="320" w:lineRule="atLeast"/>
        <w:ind w:right="2268"/>
        <w:contextualSpacing/>
        <w:rPr>
          <w:rFonts w:eastAsia="Calibri" w:cs="Arial"/>
          <w:color w:val="auto"/>
          <w:sz w:val="22"/>
          <w:szCs w:val="22"/>
          <w:lang w:val="en-US"/>
        </w:rPr>
      </w:pPr>
      <w:r w:rsidRPr="00111C16">
        <w:rPr>
          <w:rFonts w:eastAsia="Calibri" w:cs="Arial"/>
          <w:color w:val="auto"/>
          <w:sz w:val="22"/>
          <w:szCs w:val="22"/>
          <w:lang w:val="en-US"/>
        </w:rPr>
        <w:t>IAA Mobility: MAHLE</w:t>
      </w:r>
      <w:r w:rsidR="00111C16">
        <w:rPr>
          <w:rFonts w:eastAsia="Calibri" w:cs="Arial"/>
          <w:color w:val="auto"/>
          <w:sz w:val="22"/>
          <w:szCs w:val="22"/>
          <w:lang w:val="en-US"/>
        </w:rPr>
        <w:t xml:space="preserve"> focuses on e-mobility – from charging infrastructure via </w:t>
      </w:r>
      <w:r w:rsidR="00FD2B18">
        <w:rPr>
          <w:rFonts w:eastAsia="Calibri" w:cs="Arial"/>
          <w:color w:val="auto"/>
          <w:sz w:val="22"/>
          <w:szCs w:val="22"/>
          <w:lang w:val="en-US"/>
        </w:rPr>
        <w:t>battery</w:t>
      </w:r>
      <w:r w:rsidR="00111C16">
        <w:rPr>
          <w:rFonts w:eastAsia="Calibri" w:cs="Arial"/>
          <w:color w:val="auto"/>
          <w:sz w:val="22"/>
          <w:szCs w:val="22"/>
          <w:lang w:val="en-US"/>
        </w:rPr>
        <w:t xml:space="preserve"> systems to electric drives</w:t>
      </w:r>
    </w:p>
    <w:p w14:paraId="27092EF6" w14:textId="77777777" w:rsidR="00597D9E" w:rsidRPr="00111C16" w:rsidRDefault="00597D9E" w:rsidP="000E358D">
      <w:pPr>
        <w:spacing w:after="120" w:line="320" w:lineRule="atLeast"/>
        <w:ind w:right="2268"/>
        <w:rPr>
          <w:rFonts w:eastAsia="Calibri" w:cs="Arial"/>
          <w:b/>
          <w:color w:val="auto"/>
          <w:sz w:val="22"/>
          <w:szCs w:val="22"/>
          <w:lang w:val="en-US"/>
        </w:rPr>
      </w:pPr>
    </w:p>
    <w:p w14:paraId="265B5A40" w14:textId="39096155" w:rsidR="000433AB" w:rsidRPr="00111C16" w:rsidRDefault="00111C16" w:rsidP="00111C16">
      <w:pPr>
        <w:spacing w:after="120" w:line="320" w:lineRule="atLeast"/>
        <w:ind w:right="2268"/>
        <w:rPr>
          <w:rFonts w:eastAsia="Calibri" w:cs="Arial"/>
          <w:b/>
          <w:color w:val="auto"/>
          <w:sz w:val="22"/>
          <w:szCs w:val="22"/>
          <w:lang w:val="en-US"/>
        </w:rPr>
      </w:pPr>
      <w:r>
        <w:rPr>
          <w:rFonts w:eastAsia="Calibri" w:cs="Arial"/>
          <w:b/>
          <w:color w:val="auto"/>
          <w:sz w:val="22"/>
          <w:szCs w:val="22"/>
          <w:lang w:val="en-US"/>
        </w:rPr>
        <w:t xml:space="preserve">In the first half of 2021, automotive component supplier MAHLE significantly boosted sales and earnings. From January to June 2021, consolidated sales grew by 32 percent – or 36 percent following adjustment for exchange rate effects – to about EUR 5.7 billion. The technology group therefore grew faster than the global automobile market. The highest growth rates were recorded in the Electronics and </w:t>
      </w:r>
      <w:r w:rsidR="00981CCC">
        <w:rPr>
          <w:rFonts w:eastAsia="Calibri" w:cs="Arial"/>
          <w:b/>
          <w:color w:val="auto"/>
          <w:sz w:val="22"/>
          <w:szCs w:val="22"/>
          <w:lang w:val="en-US"/>
        </w:rPr>
        <w:t>Mechatronics</w:t>
      </w:r>
      <w:r>
        <w:rPr>
          <w:rFonts w:eastAsia="Calibri" w:cs="Arial"/>
          <w:b/>
          <w:color w:val="auto"/>
          <w:sz w:val="22"/>
          <w:szCs w:val="22"/>
          <w:lang w:val="en-US"/>
        </w:rPr>
        <w:t xml:space="preserve"> business area. EBIT for the first half was about EUR 201 million, after MAHLE had recorded a negative result in the first half of 2020 – also as a result of Covid-19. </w:t>
      </w:r>
      <w:r w:rsidR="002E0430" w:rsidRPr="002E0430">
        <w:rPr>
          <w:rFonts w:eastAsia="Calibri" w:cs="Arial"/>
          <w:b/>
          <w:color w:val="auto"/>
          <w:sz w:val="22"/>
          <w:szCs w:val="22"/>
          <w:lang w:val="en-US"/>
        </w:rPr>
        <w:t xml:space="preserve">Increased sales, productivity </w:t>
      </w:r>
      <w:r w:rsidR="002E0430">
        <w:rPr>
          <w:rFonts w:eastAsia="Calibri" w:cs="Arial"/>
          <w:b/>
          <w:color w:val="auto"/>
          <w:sz w:val="22"/>
          <w:szCs w:val="22"/>
          <w:lang w:val="en-US"/>
        </w:rPr>
        <w:t xml:space="preserve">along with </w:t>
      </w:r>
      <w:r w:rsidR="002E0430" w:rsidRPr="002E0430">
        <w:rPr>
          <w:rFonts w:eastAsia="Calibri" w:cs="Arial"/>
          <w:b/>
          <w:color w:val="auto"/>
          <w:sz w:val="22"/>
          <w:szCs w:val="22"/>
          <w:lang w:val="en-US"/>
        </w:rPr>
        <w:t xml:space="preserve">numerous initiatives to reduce costs offset negative effects such as </w:t>
      </w:r>
      <w:r w:rsidR="002E0430">
        <w:rPr>
          <w:rFonts w:eastAsia="Calibri" w:cs="Arial"/>
          <w:b/>
          <w:color w:val="auto"/>
          <w:sz w:val="22"/>
          <w:szCs w:val="22"/>
          <w:lang w:val="en-US"/>
        </w:rPr>
        <w:t>higher</w:t>
      </w:r>
      <w:r w:rsidR="002E0430" w:rsidRPr="002E0430">
        <w:rPr>
          <w:rFonts w:eastAsia="Calibri" w:cs="Arial"/>
          <w:b/>
          <w:color w:val="auto"/>
          <w:sz w:val="22"/>
          <w:szCs w:val="22"/>
          <w:lang w:val="en-US"/>
        </w:rPr>
        <w:t xml:space="preserve"> material prices.</w:t>
      </w:r>
      <w:r w:rsidR="002E0430">
        <w:rPr>
          <w:rFonts w:eastAsia="Calibri" w:cs="Arial"/>
          <w:b/>
          <w:color w:val="auto"/>
          <w:sz w:val="22"/>
          <w:szCs w:val="22"/>
          <w:lang w:val="en-US"/>
        </w:rPr>
        <w:t xml:space="preserve"> </w:t>
      </w:r>
      <w:r>
        <w:rPr>
          <w:rFonts w:eastAsia="Calibri" w:cs="Arial"/>
          <w:b/>
          <w:color w:val="auto"/>
          <w:sz w:val="22"/>
          <w:szCs w:val="22"/>
          <w:lang w:val="en-US"/>
        </w:rPr>
        <w:t xml:space="preserve">The consolidated result after taxes was also positive again, at EUR 55 million. “We have therefore achieved the turnaround we had aimed for. The positive figures confirm that we have become more profitable and more efficient in overall terms,” said </w:t>
      </w:r>
      <w:r w:rsidR="000433AB" w:rsidRPr="00111C16">
        <w:rPr>
          <w:rFonts w:eastAsia="Calibri" w:cs="Arial"/>
          <w:b/>
          <w:color w:val="auto"/>
          <w:sz w:val="22"/>
          <w:szCs w:val="22"/>
          <w:lang w:val="en-US"/>
        </w:rPr>
        <w:t>Michael Frick,</w:t>
      </w:r>
      <w:r>
        <w:rPr>
          <w:rFonts w:eastAsia="Calibri" w:cs="Arial"/>
          <w:b/>
          <w:color w:val="auto"/>
          <w:sz w:val="22"/>
          <w:szCs w:val="22"/>
          <w:lang w:val="en-US"/>
        </w:rPr>
        <w:t xml:space="preserve"> Chairman of the Group Management Board </w:t>
      </w:r>
      <w:r w:rsidR="000433AB" w:rsidRPr="00111C16">
        <w:rPr>
          <w:rFonts w:eastAsia="Calibri" w:cs="Arial"/>
          <w:b/>
          <w:color w:val="auto"/>
          <w:sz w:val="22"/>
          <w:szCs w:val="22"/>
          <w:lang w:val="en-US"/>
        </w:rPr>
        <w:t>(ad interim)</w:t>
      </w:r>
      <w:r>
        <w:rPr>
          <w:rFonts w:eastAsia="Calibri" w:cs="Arial"/>
          <w:b/>
          <w:color w:val="auto"/>
          <w:sz w:val="22"/>
          <w:szCs w:val="22"/>
          <w:lang w:val="en-US"/>
        </w:rPr>
        <w:t xml:space="preserve"> and </w:t>
      </w:r>
      <w:r w:rsidR="000433AB" w:rsidRPr="00111C16">
        <w:rPr>
          <w:rFonts w:eastAsia="Calibri" w:cs="Arial"/>
          <w:b/>
          <w:color w:val="auto"/>
          <w:sz w:val="22"/>
          <w:szCs w:val="22"/>
          <w:lang w:val="en-US"/>
        </w:rPr>
        <w:t>CFO</w:t>
      </w:r>
      <w:r>
        <w:rPr>
          <w:rFonts w:eastAsia="Calibri" w:cs="Arial"/>
          <w:b/>
          <w:color w:val="auto"/>
          <w:sz w:val="22"/>
          <w:szCs w:val="22"/>
          <w:lang w:val="en-US"/>
        </w:rPr>
        <w:t xml:space="preserve"> of </w:t>
      </w:r>
      <w:r w:rsidR="000433AB" w:rsidRPr="00111C16">
        <w:rPr>
          <w:rFonts w:eastAsia="Calibri" w:cs="Arial"/>
          <w:b/>
          <w:color w:val="auto"/>
          <w:sz w:val="22"/>
          <w:szCs w:val="22"/>
          <w:lang w:val="en-US"/>
        </w:rPr>
        <w:t>MAHLE</w:t>
      </w:r>
      <w:r>
        <w:rPr>
          <w:rFonts w:eastAsia="Calibri" w:cs="Arial"/>
          <w:b/>
          <w:color w:val="auto"/>
          <w:sz w:val="22"/>
          <w:szCs w:val="22"/>
          <w:lang w:val="en-US"/>
        </w:rPr>
        <w:t>, presenting the half-year figures</w:t>
      </w:r>
      <w:r w:rsidR="000433AB" w:rsidRPr="00111C16">
        <w:rPr>
          <w:rFonts w:eastAsia="Calibri" w:cs="Arial"/>
          <w:b/>
          <w:color w:val="auto"/>
          <w:sz w:val="22"/>
          <w:szCs w:val="22"/>
          <w:lang w:val="en-US"/>
        </w:rPr>
        <w:t>.</w:t>
      </w:r>
      <w:r>
        <w:rPr>
          <w:rFonts w:eastAsia="Calibri" w:cs="Arial"/>
          <w:b/>
          <w:color w:val="auto"/>
          <w:sz w:val="22"/>
          <w:szCs w:val="22"/>
          <w:lang w:val="en-US"/>
        </w:rPr>
        <w:t xml:space="preserve"> The company </w:t>
      </w:r>
      <w:r w:rsidR="008B0BE3">
        <w:rPr>
          <w:rFonts w:eastAsia="Calibri" w:cs="Arial"/>
          <w:b/>
          <w:color w:val="auto"/>
          <w:sz w:val="22"/>
          <w:szCs w:val="22"/>
          <w:lang w:val="en-US"/>
        </w:rPr>
        <w:t xml:space="preserve">headquartered in Stuttgart </w:t>
      </w:r>
      <w:r>
        <w:rPr>
          <w:rFonts w:eastAsia="Calibri" w:cs="Arial"/>
          <w:b/>
          <w:color w:val="auto"/>
          <w:sz w:val="22"/>
          <w:szCs w:val="22"/>
          <w:lang w:val="en-US"/>
        </w:rPr>
        <w:t xml:space="preserve">is more cautious as regards the second half. In view of various risks such as high raw material prices and semiconductor shortages, the second half could become more volatile. Nevertheless, MAHLE expects to close the </w:t>
      </w:r>
      <w:r w:rsidR="008234A5">
        <w:rPr>
          <w:rFonts w:eastAsia="Calibri" w:cs="Arial"/>
          <w:b/>
          <w:color w:val="auto"/>
          <w:sz w:val="22"/>
          <w:szCs w:val="22"/>
          <w:lang w:val="en-US"/>
        </w:rPr>
        <w:t xml:space="preserve">entire </w:t>
      </w:r>
      <w:r>
        <w:rPr>
          <w:rFonts w:eastAsia="Calibri" w:cs="Arial"/>
          <w:b/>
          <w:color w:val="auto"/>
          <w:sz w:val="22"/>
          <w:szCs w:val="22"/>
          <w:lang w:val="en-US"/>
        </w:rPr>
        <w:t xml:space="preserve">year with sales growth and a positive result. </w:t>
      </w:r>
      <w:bookmarkStart w:id="0" w:name="_Hlk80694191"/>
      <w:r>
        <w:rPr>
          <w:rFonts w:eastAsia="Calibri" w:cs="Arial"/>
          <w:b/>
          <w:color w:val="auto"/>
          <w:sz w:val="22"/>
          <w:szCs w:val="22"/>
          <w:lang w:val="en-US"/>
        </w:rPr>
        <w:t xml:space="preserve">At the IAA Mobility, </w:t>
      </w:r>
      <w:r w:rsidR="00E40831" w:rsidRPr="00111C16">
        <w:rPr>
          <w:rFonts w:eastAsia="Calibri" w:cs="Arial"/>
          <w:b/>
          <w:color w:val="auto"/>
          <w:sz w:val="22"/>
          <w:szCs w:val="22"/>
          <w:lang w:val="en-US"/>
        </w:rPr>
        <w:t xml:space="preserve">MAHLE </w:t>
      </w:r>
      <w:r>
        <w:rPr>
          <w:rFonts w:eastAsia="Calibri" w:cs="Arial"/>
          <w:b/>
          <w:color w:val="auto"/>
          <w:sz w:val="22"/>
          <w:szCs w:val="22"/>
          <w:lang w:val="en-US"/>
        </w:rPr>
        <w:t xml:space="preserve">is presenting the next generation of e-mobility to the </w:t>
      </w:r>
      <w:r w:rsidR="008234A5">
        <w:rPr>
          <w:rFonts w:eastAsia="Calibri" w:cs="Arial"/>
          <w:b/>
          <w:color w:val="auto"/>
          <w:sz w:val="22"/>
          <w:szCs w:val="22"/>
          <w:lang w:val="en-US"/>
        </w:rPr>
        <w:t>public</w:t>
      </w:r>
      <w:r>
        <w:rPr>
          <w:rFonts w:eastAsia="Calibri" w:cs="Arial"/>
          <w:b/>
          <w:color w:val="auto"/>
          <w:sz w:val="22"/>
          <w:szCs w:val="22"/>
          <w:lang w:val="en-US"/>
        </w:rPr>
        <w:t xml:space="preserve"> in the “Open Space” at Munich’s </w:t>
      </w:r>
      <w:r w:rsidR="00630FE1" w:rsidRPr="00111C16">
        <w:rPr>
          <w:rFonts w:eastAsia="Calibri" w:cs="Arial"/>
          <w:b/>
          <w:color w:val="auto"/>
          <w:sz w:val="22"/>
          <w:szCs w:val="22"/>
          <w:lang w:val="en-US"/>
        </w:rPr>
        <w:t>Königsplatz</w:t>
      </w:r>
      <w:r>
        <w:rPr>
          <w:rFonts w:eastAsia="Calibri" w:cs="Arial"/>
          <w:b/>
          <w:color w:val="auto"/>
          <w:sz w:val="22"/>
          <w:szCs w:val="22"/>
          <w:lang w:val="en-US"/>
        </w:rPr>
        <w:t xml:space="preserve"> and to its customers at the </w:t>
      </w:r>
      <w:r w:rsidR="00E40831" w:rsidRPr="00111C16">
        <w:rPr>
          <w:rFonts w:eastAsia="Calibri" w:cs="Arial"/>
          <w:b/>
          <w:color w:val="auto"/>
          <w:sz w:val="22"/>
          <w:szCs w:val="22"/>
          <w:lang w:val="en-US"/>
        </w:rPr>
        <w:t xml:space="preserve">Mobility Summit </w:t>
      </w:r>
      <w:r w:rsidR="00443E52" w:rsidRPr="00111C16">
        <w:rPr>
          <w:rFonts w:eastAsia="Calibri" w:cs="Arial"/>
          <w:b/>
          <w:color w:val="auto"/>
          <w:sz w:val="22"/>
          <w:szCs w:val="22"/>
          <w:lang w:val="en-US"/>
        </w:rPr>
        <w:t>(</w:t>
      </w:r>
      <w:r>
        <w:rPr>
          <w:rFonts w:eastAsia="Calibri" w:cs="Arial"/>
          <w:b/>
          <w:color w:val="auto"/>
          <w:sz w:val="22"/>
          <w:szCs w:val="22"/>
          <w:lang w:val="en-US"/>
        </w:rPr>
        <w:t xml:space="preserve">exhibition </w:t>
      </w:r>
      <w:r w:rsidR="00FD2B18">
        <w:rPr>
          <w:rFonts w:eastAsia="Calibri" w:cs="Arial"/>
          <w:b/>
          <w:color w:val="auto"/>
          <w:sz w:val="22"/>
          <w:szCs w:val="22"/>
          <w:lang w:val="en-US"/>
        </w:rPr>
        <w:t>center</w:t>
      </w:r>
      <w:r w:rsidR="00443E52" w:rsidRPr="00111C16">
        <w:rPr>
          <w:rFonts w:eastAsia="Calibri" w:cs="Arial"/>
          <w:b/>
          <w:color w:val="auto"/>
          <w:sz w:val="22"/>
          <w:szCs w:val="22"/>
          <w:lang w:val="en-US"/>
        </w:rPr>
        <w:t>)</w:t>
      </w:r>
      <w:bookmarkEnd w:id="0"/>
      <w:r w:rsidR="00E40831" w:rsidRPr="00111C16">
        <w:rPr>
          <w:rFonts w:eastAsia="Calibri" w:cs="Arial"/>
          <w:b/>
          <w:color w:val="auto"/>
          <w:sz w:val="22"/>
          <w:szCs w:val="22"/>
          <w:lang w:val="en-US"/>
        </w:rPr>
        <w:t>.</w:t>
      </w:r>
    </w:p>
    <w:p w14:paraId="19A21CA6" w14:textId="77777777" w:rsidR="001B3596" w:rsidRPr="00111C16" w:rsidRDefault="00103649" w:rsidP="001B3596">
      <w:pPr>
        <w:spacing w:after="120" w:line="320" w:lineRule="atLeast"/>
        <w:ind w:right="2268"/>
        <w:rPr>
          <w:rFonts w:eastAsia="Calibri" w:cs="Arial"/>
          <w:color w:val="auto"/>
          <w:sz w:val="22"/>
          <w:szCs w:val="22"/>
          <w:lang w:val="en-US"/>
        </w:rPr>
      </w:pPr>
      <w:r>
        <w:rPr>
          <w:rFonts w:eastAsia="Calibri" w:cs="Arial"/>
          <w:bCs/>
          <w:color w:val="auto"/>
          <w:sz w:val="22"/>
          <w:szCs w:val="22"/>
          <w:lang w:val="en-US"/>
        </w:rPr>
        <w:lastRenderedPageBreak/>
        <w:t>“</w:t>
      </w:r>
      <w:r w:rsidR="00571F7E" w:rsidRPr="00111C16">
        <w:rPr>
          <w:rFonts w:eastAsia="Calibri" w:cs="Arial"/>
          <w:bCs/>
          <w:color w:val="auto"/>
          <w:sz w:val="22"/>
          <w:szCs w:val="22"/>
          <w:lang w:val="en-US"/>
        </w:rPr>
        <w:t xml:space="preserve">MAHLE </w:t>
      </w:r>
      <w:r>
        <w:rPr>
          <w:rFonts w:eastAsia="Calibri" w:cs="Arial"/>
          <w:bCs/>
          <w:color w:val="auto"/>
          <w:sz w:val="22"/>
          <w:szCs w:val="22"/>
          <w:lang w:val="en-US"/>
        </w:rPr>
        <w:t>has boosted the pace of its transformation</w:t>
      </w:r>
      <w:r w:rsidR="00571F7E" w:rsidRPr="00111C16">
        <w:rPr>
          <w:rFonts w:eastAsia="Calibri" w:cs="Arial"/>
          <w:bCs/>
          <w:color w:val="auto"/>
          <w:sz w:val="22"/>
          <w:szCs w:val="22"/>
          <w:lang w:val="en-US"/>
        </w:rPr>
        <w:t xml:space="preserve">. </w:t>
      </w:r>
      <w:r w:rsidRPr="00103649">
        <w:rPr>
          <w:rFonts w:eastAsia="Calibri" w:cs="Arial"/>
          <w:bCs/>
          <w:color w:val="auto"/>
          <w:sz w:val="22"/>
          <w:szCs w:val="22"/>
          <w:lang w:val="en-US"/>
        </w:rPr>
        <w:t>We will consistently build on the success achieved to date in our technological and structural reorientation</w:t>
      </w:r>
      <w:r w:rsidR="000433AB" w:rsidRPr="00111C16">
        <w:rPr>
          <w:rFonts w:eastAsia="Calibri" w:cs="Arial"/>
          <w:bCs/>
          <w:color w:val="auto"/>
          <w:sz w:val="22"/>
          <w:szCs w:val="22"/>
          <w:lang w:val="en-US"/>
        </w:rPr>
        <w:t>,“</w:t>
      </w:r>
      <w:r>
        <w:rPr>
          <w:rFonts w:eastAsia="Calibri" w:cs="Arial"/>
          <w:bCs/>
          <w:color w:val="auto"/>
          <w:sz w:val="22"/>
          <w:szCs w:val="22"/>
          <w:lang w:val="en-US"/>
        </w:rPr>
        <w:t xml:space="preserve"> said </w:t>
      </w:r>
      <w:r w:rsidR="00E40831" w:rsidRPr="00111C16">
        <w:rPr>
          <w:rFonts w:eastAsia="Calibri" w:cs="Arial"/>
          <w:bCs/>
          <w:color w:val="auto"/>
          <w:sz w:val="22"/>
          <w:szCs w:val="22"/>
          <w:lang w:val="en-US"/>
        </w:rPr>
        <w:t>Frick.</w:t>
      </w:r>
      <w:r w:rsidR="00FD2B18">
        <w:rPr>
          <w:rFonts w:eastAsia="Calibri" w:cs="Arial"/>
          <w:bCs/>
          <w:color w:val="auto"/>
          <w:sz w:val="22"/>
          <w:szCs w:val="22"/>
          <w:lang w:val="en-US"/>
        </w:rPr>
        <w:t xml:space="preserve"> One of the key elements in this</w:t>
      </w:r>
      <w:r>
        <w:rPr>
          <w:rFonts w:eastAsia="Calibri" w:cs="Arial"/>
          <w:bCs/>
          <w:color w:val="auto"/>
          <w:sz w:val="22"/>
          <w:szCs w:val="22"/>
          <w:lang w:val="en-US"/>
        </w:rPr>
        <w:t xml:space="preserve"> success is high research and development expenditure, which amounts to about six percent of sales. </w:t>
      </w:r>
      <w:r w:rsidRPr="00103649">
        <w:rPr>
          <w:rFonts w:eastAsia="Calibri" w:cs="Arial"/>
          <w:bCs/>
          <w:color w:val="auto"/>
          <w:sz w:val="22"/>
          <w:szCs w:val="22"/>
          <w:lang w:val="en-US"/>
        </w:rPr>
        <w:t>Future-oriented technologies and fields connected with climate-neutral mobility account for more than 80 percent of</w:t>
      </w:r>
      <w:r>
        <w:rPr>
          <w:rFonts w:eastAsia="Calibri" w:cs="Arial"/>
          <w:bCs/>
          <w:color w:val="auto"/>
          <w:sz w:val="22"/>
          <w:szCs w:val="22"/>
          <w:lang w:val="en-US"/>
        </w:rPr>
        <w:t xml:space="preserve"> this figure</w:t>
      </w:r>
      <w:r w:rsidR="001B3596" w:rsidRPr="00111C16">
        <w:rPr>
          <w:rFonts w:eastAsia="Calibri" w:cs="Arial"/>
          <w:color w:val="auto"/>
          <w:sz w:val="22"/>
          <w:szCs w:val="22"/>
          <w:lang w:val="en-US"/>
        </w:rPr>
        <w:t xml:space="preserve">. </w:t>
      </w:r>
    </w:p>
    <w:p w14:paraId="7B31C625" w14:textId="0B4B12D9" w:rsidR="00E40831" w:rsidRPr="00111C16" w:rsidRDefault="00103649" w:rsidP="001B3596">
      <w:pPr>
        <w:spacing w:after="120" w:line="320" w:lineRule="atLeast"/>
        <w:ind w:right="2268"/>
        <w:rPr>
          <w:sz w:val="22"/>
          <w:szCs w:val="22"/>
          <w:lang w:val="en-US"/>
        </w:rPr>
      </w:pPr>
      <w:r>
        <w:rPr>
          <w:rFonts w:eastAsia="Calibri" w:cs="Arial"/>
          <w:color w:val="auto"/>
          <w:sz w:val="22"/>
          <w:szCs w:val="22"/>
          <w:lang w:val="en-US"/>
        </w:rPr>
        <w:t xml:space="preserve">At the leading industry showcase </w:t>
      </w:r>
      <w:r w:rsidR="00571F7E" w:rsidRPr="00111C16">
        <w:rPr>
          <w:rFonts w:eastAsia="Calibri" w:cs="Arial"/>
          <w:bCs/>
          <w:color w:val="auto"/>
          <w:sz w:val="22"/>
          <w:szCs w:val="22"/>
          <w:lang w:val="en-US"/>
        </w:rPr>
        <w:t>IAA</w:t>
      </w:r>
      <w:r>
        <w:rPr>
          <w:rFonts w:eastAsia="Calibri" w:cs="Arial"/>
          <w:bCs/>
          <w:color w:val="auto"/>
          <w:sz w:val="22"/>
          <w:szCs w:val="22"/>
          <w:lang w:val="en-US"/>
        </w:rPr>
        <w:t>, the technology group is highlighting its broad-based positioning with respect to e-mobility, ranging from charging technology to battery systems and electric motors. “</w:t>
      </w:r>
      <w:r w:rsidRPr="00103649">
        <w:rPr>
          <w:rFonts w:eastAsia="Calibri" w:cs="Arial"/>
          <w:bCs/>
          <w:color w:val="auto"/>
          <w:sz w:val="22"/>
          <w:szCs w:val="22"/>
          <w:lang w:val="en-US"/>
        </w:rPr>
        <w:t>We are supporting energy flow through the entire vehicle and even start before we reach the vehicle</w:t>
      </w:r>
      <w:r>
        <w:rPr>
          <w:rFonts w:eastAsia="Calibri" w:cs="Arial"/>
          <w:bCs/>
          <w:color w:val="auto"/>
          <w:sz w:val="22"/>
          <w:szCs w:val="22"/>
          <w:lang w:val="en-US"/>
        </w:rPr>
        <w:t xml:space="preserve">,” said </w:t>
      </w:r>
      <w:r w:rsidR="00FD2B18" w:rsidRPr="008234A5">
        <w:rPr>
          <w:rFonts w:eastAsia="Calibri" w:cs="Arial"/>
          <w:bCs/>
          <w:color w:val="auto"/>
          <w:sz w:val="22"/>
          <w:szCs w:val="22"/>
          <w:lang w:val="en-US"/>
        </w:rPr>
        <w:t>Vice President</w:t>
      </w:r>
      <w:r w:rsidRPr="008234A5">
        <w:rPr>
          <w:rFonts w:eastAsia="Calibri" w:cs="Arial"/>
          <w:bCs/>
          <w:color w:val="auto"/>
          <w:sz w:val="22"/>
          <w:szCs w:val="22"/>
          <w:lang w:val="en-US"/>
        </w:rPr>
        <w:t xml:space="preserve"> </w:t>
      </w:r>
      <w:r w:rsidR="002D47C1">
        <w:rPr>
          <w:rFonts w:eastAsia="Calibri" w:cs="Arial"/>
          <w:bCs/>
          <w:color w:val="auto"/>
          <w:sz w:val="22"/>
          <w:szCs w:val="22"/>
          <w:lang w:val="en-US"/>
        </w:rPr>
        <w:t xml:space="preserve">Corporate </w:t>
      </w:r>
      <w:r w:rsidRPr="008234A5">
        <w:rPr>
          <w:rFonts w:eastAsia="Calibri" w:cs="Arial"/>
          <w:bCs/>
          <w:color w:val="auto"/>
          <w:sz w:val="22"/>
          <w:szCs w:val="22"/>
          <w:lang w:val="en-US"/>
        </w:rPr>
        <w:t xml:space="preserve">Research and </w:t>
      </w:r>
      <w:r w:rsidR="00FD2B18" w:rsidRPr="008234A5">
        <w:rPr>
          <w:rFonts w:eastAsia="Calibri" w:cs="Arial"/>
          <w:bCs/>
          <w:color w:val="auto"/>
          <w:sz w:val="22"/>
          <w:szCs w:val="22"/>
          <w:lang w:val="en-US"/>
        </w:rPr>
        <w:t>Advanced Engineering</w:t>
      </w:r>
      <w:r>
        <w:rPr>
          <w:rFonts w:eastAsia="Calibri" w:cs="Arial"/>
          <w:bCs/>
          <w:color w:val="auto"/>
          <w:sz w:val="22"/>
          <w:szCs w:val="22"/>
          <w:lang w:val="en-US"/>
        </w:rPr>
        <w:t xml:space="preserve"> </w:t>
      </w:r>
      <w:r w:rsidR="001B3596" w:rsidRPr="00111C16">
        <w:rPr>
          <w:sz w:val="22"/>
          <w:szCs w:val="22"/>
          <w:lang w:val="en-US"/>
        </w:rPr>
        <w:t>Dr. Martin Berger. MAHLE</w:t>
      </w:r>
      <w:r>
        <w:rPr>
          <w:sz w:val="22"/>
          <w:szCs w:val="22"/>
          <w:lang w:val="en-US"/>
        </w:rPr>
        <w:t xml:space="preserve"> supplies smart charging infrastructure in the form of </w:t>
      </w:r>
      <w:r w:rsidR="001B3596" w:rsidRPr="00111C16">
        <w:rPr>
          <w:sz w:val="22"/>
          <w:szCs w:val="22"/>
          <w:lang w:val="en-US"/>
        </w:rPr>
        <w:t>chargeBIG</w:t>
      </w:r>
      <w:r>
        <w:rPr>
          <w:sz w:val="22"/>
          <w:szCs w:val="22"/>
          <w:lang w:val="en-US"/>
        </w:rPr>
        <w:t>. The almost 1</w:t>
      </w:r>
      <w:r w:rsidR="0048188C">
        <w:rPr>
          <w:sz w:val="22"/>
          <w:szCs w:val="22"/>
          <w:lang w:val="en-US"/>
        </w:rPr>
        <w:t>,</w:t>
      </w:r>
      <w:r>
        <w:rPr>
          <w:sz w:val="22"/>
          <w:szCs w:val="22"/>
          <w:lang w:val="en-US"/>
        </w:rPr>
        <w:t>000 charging points installed for long-term parking are to receive a key boost from the “</w:t>
      </w:r>
      <w:r w:rsidR="001B3596" w:rsidRPr="00111C16">
        <w:rPr>
          <w:sz w:val="22"/>
          <w:szCs w:val="22"/>
          <w:lang w:val="en-US"/>
        </w:rPr>
        <w:t>chargeBIG POWER</w:t>
      </w:r>
      <w:r>
        <w:rPr>
          <w:sz w:val="22"/>
          <w:szCs w:val="22"/>
          <w:lang w:val="en-US"/>
        </w:rPr>
        <w:t>” system of f</w:t>
      </w:r>
      <w:r w:rsidR="00FD2B18">
        <w:rPr>
          <w:sz w:val="22"/>
          <w:szCs w:val="22"/>
          <w:lang w:val="en-US"/>
        </w:rPr>
        <w:t>a</w:t>
      </w:r>
      <w:r>
        <w:rPr>
          <w:sz w:val="22"/>
          <w:szCs w:val="22"/>
          <w:lang w:val="en-US"/>
        </w:rPr>
        <w:t>st charging stations with power ratings up to</w:t>
      </w:r>
      <w:r w:rsidR="00E40831" w:rsidRPr="00111C16">
        <w:rPr>
          <w:sz w:val="22"/>
          <w:szCs w:val="22"/>
          <w:lang w:val="en-US"/>
        </w:rPr>
        <w:t xml:space="preserve"> </w:t>
      </w:r>
      <w:bookmarkStart w:id="1" w:name="_Hlk80718455"/>
      <w:r w:rsidR="00E40831" w:rsidRPr="00111C16">
        <w:rPr>
          <w:sz w:val="22"/>
          <w:szCs w:val="22"/>
          <w:lang w:val="en-US"/>
        </w:rPr>
        <w:t>750kW</w:t>
      </w:r>
      <w:bookmarkEnd w:id="1"/>
      <w:r w:rsidR="00571F7E" w:rsidRPr="00111C16">
        <w:rPr>
          <w:sz w:val="22"/>
          <w:szCs w:val="22"/>
          <w:lang w:val="en-US"/>
        </w:rPr>
        <w:t>.</w:t>
      </w:r>
    </w:p>
    <w:p w14:paraId="3F8B8256" w14:textId="77777777" w:rsidR="00103649" w:rsidRDefault="00103649" w:rsidP="001B3596">
      <w:pPr>
        <w:spacing w:after="120" w:line="320" w:lineRule="atLeast"/>
        <w:ind w:right="2268"/>
        <w:rPr>
          <w:sz w:val="22"/>
          <w:szCs w:val="22"/>
          <w:lang w:val="en-US"/>
        </w:rPr>
      </w:pPr>
      <w:r>
        <w:rPr>
          <w:sz w:val="22"/>
          <w:szCs w:val="22"/>
          <w:lang w:val="en-US"/>
        </w:rPr>
        <w:t xml:space="preserve">However, </w:t>
      </w:r>
      <w:r w:rsidR="00FD2B18">
        <w:rPr>
          <w:sz w:val="22"/>
          <w:szCs w:val="22"/>
          <w:lang w:val="en-US"/>
        </w:rPr>
        <w:t>fast</w:t>
      </w:r>
      <w:r>
        <w:rPr>
          <w:sz w:val="22"/>
          <w:szCs w:val="22"/>
          <w:lang w:val="en-US"/>
        </w:rPr>
        <w:t xml:space="preserve"> charging not only calls for the right infrastructure. Vehicle technology, especially the battery, is equally important. For f</w:t>
      </w:r>
      <w:r w:rsidR="00FD2B18">
        <w:rPr>
          <w:sz w:val="22"/>
          <w:szCs w:val="22"/>
          <w:lang w:val="en-US"/>
        </w:rPr>
        <w:t>a</w:t>
      </w:r>
      <w:r>
        <w:rPr>
          <w:sz w:val="22"/>
          <w:szCs w:val="22"/>
          <w:lang w:val="en-US"/>
        </w:rPr>
        <w:t>st charging, temperatures within the battery cell must be evenly distributed and must not rise t</w:t>
      </w:r>
      <w:r w:rsidR="00FD2B18">
        <w:rPr>
          <w:sz w:val="22"/>
          <w:szCs w:val="22"/>
          <w:lang w:val="en-US"/>
        </w:rPr>
        <w:t>o</w:t>
      </w:r>
      <w:r>
        <w:rPr>
          <w:sz w:val="22"/>
          <w:szCs w:val="22"/>
          <w:lang w:val="en-US"/>
        </w:rPr>
        <w:t>o high. “In this area, MAHLE has made a breakthrough.</w:t>
      </w:r>
      <w:r w:rsidRPr="008B0BE3">
        <w:rPr>
          <w:lang w:val="en-US"/>
        </w:rPr>
        <w:t xml:space="preserve"> </w:t>
      </w:r>
      <w:r w:rsidRPr="00103649">
        <w:rPr>
          <w:sz w:val="22"/>
          <w:szCs w:val="22"/>
          <w:lang w:val="en-US"/>
        </w:rPr>
        <w:t>We have now succeeded in rolling back the boundaries of rapid charging to a considerable extent by opting for a new solution: immersion cooling</w:t>
      </w:r>
      <w:r>
        <w:rPr>
          <w:sz w:val="22"/>
          <w:szCs w:val="22"/>
          <w:lang w:val="en-US"/>
        </w:rPr>
        <w:t>,” said Berger.</w:t>
      </w:r>
      <w:r w:rsidRPr="008B0BE3">
        <w:rPr>
          <w:lang w:val="en-US"/>
        </w:rPr>
        <w:t xml:space="preserve"> </w:t>
      </w:r>
      <w:r w:rsidRPr="00103649">
        <w:rPr>
          <w:sz w:val="22"/>
          <w:szCs w:val="22"/>
          <w:lang w:val="en-US"/>
        </w:rPr>
        <w:t>With this system, a non-conductive coolant circulates around the cells, the cables and all connectors</w:t>
      </w:r>
      <w:r>
        <w:rPr>
          <w:sz w:val="22"/>
          <w:szCs w:val="22"/>
          <w:lang w:val="en-US"/>
        </w:rPr>
        <w:t xml:space="preserve"> of the battery</w:t>
      </w:r>
      <w:r w:rsidRPr="00103649">
        <w:rPr>
          <w:sz w:val="22"/>
          <w:szCs w:val="22"/>
          <w:lang w:val="en-US"/>
        </w:rPr>
        <w:t>.</w:t>
      </w:r>
      <w:r>
        <w:rPr>
          <w:sz w:val="22"/>
          <w:szCs w:val="22"/>
          <w:lang w:val="en-US"/>
        </w:rPr>
        <w:t xml:space="preserve"> This reduces the maximum temperature and improves heat distribution within the battery cell.</w:t>
      </w:r>
      <w:r w:rsidR="00C377ED">
        <w:rPr>
          <w:sz w:val="22"/>
          <w:szCs w:val="22"/>
          <w:lang w:val="en-US"/>
        </w:rPr>
        <w:t xml:space="preserve"> Charging in a matter of minutes at the same time as longer battery life improves </w:t>
      </w:r>
      <w:r w:rsidR="00FD2B18">
        <w:rPr>
          <w:sz w:val="22"/>
          <w:szCs w:val="22"/>
          <w:lang w:val="en-US"/>
        </w:rPr>
        <w:t xml:space="preserve">the </w:t>
      </w:r>
      <w:r w:rsidR="00C377ED">
        <w:rPr>
          <w:sz w:val="22"/>
          <w:szCs w:val="22"/>
          <w:lang w:val="en-US"/>
        </w:rPr>
        <w:t xml:space="preserve">suitability </w:t>
      </w:r>
      <w:r w:rsidR="00FD2B18">
        <w:rPr>
          <w:sz w:val="22"/>
          <w:szCs w:val="22"/>
          <w:lang w:val="en-US"/>
        </w:rPr>
        <w:t xml:space="preserve">of electric vehicles </w:t>
      </w:r>
      <w:r w:rsidR="00C377ED">
        <w:rPr>
          <w:sz w:val="22"/>
          <w:szCs w:val="22"/>
          <w:lang w:val="en-US"/>
        </w:rPr>
        <w:t xml:space="preserve">for long trips and </w:t>
      </w:r>
      <w:r w:rsidR="00FD2B18">
        <w:rPr>
          <w:sz w:val="22"/>
          <w:szCs w:val="22"/>
          <w:lang w:val="en-US"/>
        </w:rPr>
        <w:t>therefore public</w:t>
      </w:r>
      <w:r w:rsidR="00C377ED">
        <w:rPr>
          <w:sz w:val="22"/>
          <w:szCs w:val="22"/>
          <w:lang w:val="en-US"/>
        </w:rPr>
        <w:t xml:space="preserve"> acceptance</w:t>
      </w:r>
      <w:r w:rsidR="00FD2B18">
        <w:rPr>
          <w:sz w:val="22"/>
          <w:szCs w:val="22"/>
          <w:lang w:val="en-US"/>
        </w:rPr>
        <w:t xml:space="preserve"> of this technology</w:t>
      </w:r>
      <w:r w:rsidR="00C377ED">
        <w:rPr>
          <w:sz w:val="22"/>
          <w:szCs w:val="22"/>
          <w:lang w:val="en-US"/>
        </w:rPr>
        <w:t>. Customers are highly interested. MAHLE expects the system to be introduced on battery-electric vehicles from 2025 onwards.</w:t>
      </w:r>
    </w:p>
    <w:p w14:paraId="6613F1AF" w14:textId="636F625A" w:rsidR="001B3596" w:rsidRPr="00111C16" w:rsidRDefault="00C377ED" w:rsidP="001B3596">
      <w:pPr>
        <w:spacing w:after="120" w:line="320" w:lineRule="atLeast"/>
        <w:ind w:right="2268"/>
        <w:rPr>
          <w:sz w:val="22"/>
          <w:szCs w:val="22"/>
          <w:lang w:val="en-US"/>
        </w:rPr>
      </w:pPr>
      <w:r w:rsidRPr="00C377ED">
        <w:rPr>
          <w:sz w:val="22"/>
          <w:szCs w:val="22"/>
          <w:lang w:val="en-US"/>
        </w:rPr>
        <w:t>The new magnet-free electric motor from MAHLE represent a breakthrough i</w:t>
      </w:r>
      <w:r>
        <w:rPr>
          <w:sz w:val="22"/>
          <w:szCs w:val="22"/>
          <w:lang w:val="en-US"/>
        </w:rPr>
        <w:t>n electric motor development</w:t>
      </w:r>
      <w:r w:rsidR="001B3596" w:rsidRPr="00111C16">
        <w:rPr>
          <w:sz w:val="22"/>
          <w:szCs w:val="22"/>
          <w:lang w:val="en-US"/>
        </w:rPr>
        <w:t xml:space="preserve">. </w:t>
      </w:r>
      <w:r>
        <w:rPr>
          <w:sz w:val="22"/>
          <w:szCs w:val="22"/>
          <w:lang w:val="en-US"/>
        </w:rPr>
        <w:t xml:space="preserve">This electric motor does not need rare earth elements. This </w:t>
      </w:r>
      <w:r w:rsidRPr="00C377ED">
        <w:rPr>
          <w:sz w:val="22"/>
          <w:szCs w:val="22"/>
          <w:lang w:val="en-US"/>
        </w:rPr>
        <w:t>not only makes production more environmentally compatible but also brings benefits in terms of cost and raw material security</w:t>
      </w:r>
      <w:r w:rsidR="001B3596" w:rsidRPr="00111C16">
        <w:rPr>
          <w:sz w:val="22"/>
          <w:szCs w:val="22"/>
          <w:lang w:val="en-US"/>
        </w:rPr>
        <w:t xml:space="preserve">. </w:t>
      </w:r>
      <w:r>
        <w:rPr>
          <w:sz w:val="22"/>
          <w:szCs w:val="22"/>
          <w:lang w:val="en-US"/>
        </w:rPr>
        <w:t xml:space="preserve">The key feature of the new motor is inductive, contactless power transmission – as a result, the motor operates without wear and is highly efficient over a wide speed range. </w:t>
      </w:r>
      <w:r w:rsidRPr="00C377ED">
        <w:rPr>
          <w:sz w:val="22"/>
          <w:szCs w:val="22"/>
          <w:lang w:val="en-US"/>
        </w:rPr>
        <w:t xml:space="preserve">At the drive system operating points </w:t>
      </w:r>
      <w:r w:rsidR="008234A5" w:rsidRPr="00C377ED">
        <w:rPr>
          <w:sz w:val="22"/>
          <w:szCs w:val="22"/>
          <w:lang w:val="en-US"/>
        </w:rPr>
        <w:t>most used</w:t>
      </w:r>
      <w:r w:rsidRPr="00C377ED">
        <w:rPr>
          <w:sz w:val="22"/>
          <w:szCs w:val="22"/>
          <w:lang w:val="en-US"/>
        </w:rPr>
        <w:t>, efficiency is over 95 percent</w:t>
      </w:r>
      <w:r w:rsidRPr="00111C16">
        <w:rPr>
          <w:sz w:val="22"/>
          <w:szCs w:val="22"/>
          <w:lang w:val="en-US"/>
        </w:rPr>
        <w:t xml:space="preserve"> </w:t>
      </w:r>
      <w:r>
        <w:rPr>
          <w:sz w:val="22"/>
          <w:szCs w:val="22"/>
          <w:lang w:val="en-US"/>
        </w:rPr>
        <w:t xml:space="preserve">– a value only achieved by Formula E racing cars to date. </w:t>
      </w:r>
      <w:r w:rsidR="001B3596" w:rsidRPr="00111C16">
        <w:rPr>
          <w:sz w:val="22"/>
          <w:szCs w:val="22"/>
          <w:lang w:val="en-US"/>
        </w:rPr>
        <w:t>MAHLE</w:t>
      </w:r>
      <w:r>
        <w:rPr>
          <w:sz w:val="22"/>
          <w:szCs w:val="22"/>
          <w:lang w:val="en-US"/>
        </w:rPr>
        <w:t xml:space="preserve"> </w:t>
      </w:r>
      <w:r w:rsidR="00FD2B18">
        <w:rPr>
          <w:sz w:val="22"/>
          <w:szCs w:val="22"/>
          <w:lang w:val="en-US"/>
        </w:rPr>
        <w:t>has</w:t>
      </w:r>
      <w:r>
        <w:rPr>
          <w:sz w:val="22"/>
          <w:szCs w:val="22"/>
          <w:lang w:val="en-US"/>
        </w:rPr>
        <w:t xml:space="preserve"> therefore succeeded in combining the advantages of various different electric motor designs in </w:t>
      </w:r>
      <w:r w:rsidR="00FD2B18">
        <w:rPr>
          <w:sz w:val="22"/>
          <w:szCs w:val="22"/>
          <w:lang w:val="en-US"/>
        </w:rPr>
        <w:t>a</w:t>
      </w:r>
      <w:r>
        <w:rPr>
          <w:sz w:val="22"/>
          <w:szCs w:val="22"/>
          <w:lang w:val="en-US"/>
        </w:rPr>
        <w:t xml:space="preserve"> single product. </w:t>
      </w:r>
      <w:r w:rsidRPr="00C377ED">
        <w:rPr>
          <w:sz w:val="22"/>
          <w:szCs w:val="22"/>
          <w:lang w:val="en-US"/>
        </w:rPr>
        <w:t>This new development is easily scalable and can be used on a wide range of vehicles from small cars to trucks.</w:t>
      </w:r>
    </w:p>
    <w:p w14:paraId="262BBB9D" w14:textId="77777777" w:rsidR="00C377ED" w:rsidRDefault="00C377ED" w:rsidP="001B3596">
      <w:pPr>
        <w:spacing w:after="120" w:line="320" w:lineRule="atLeast"/>
        <w:ind w:right="2268"/>
        <w:rPr>
          <w:sz w:val="22"/>
          <w:szCs w:val="22"/>
          <w:lang w:val="en-US"/>
        </w:rPr>
      </w:pPr>
      <w:r w:rsidRPr="00C377ED">
        <w:rPr>
          <w:sz w:val="22"/>
          <w:szCs w:val="22"/>
          <w:lang w:val="en-US"/>
        </w:rPr>
        <w:lastRenderedPageBreak/>
        <w:t>Thermal management, i.e. heating and cooling, still remains the business area of MAHLE with by far the largest share in sales.</w:t>
      </w:r>
      <w:r>
        <w:rPr>
          <w:sz w:val="22"/>
          <w:szCs w:val="22"/>
          <w:lang w:val="en-US"/>
        </w:rPr>
        <w:t xml:space="preserve"> Thanks to technologies from </w:t>
      </w:r>
      <w:r w:rsidR="00E40831" w:rsidRPr="00111C16">
        <w:rPr>
          <w:sz w:val="22"/>
          <w:szCs w:val="22"/>
          <w:lang w:val="en-US"/>
        </w:rPr>
        <w:t>MAHLE</w:t>
      </w:r>
      <w:r>
        <w:rPr>
          <w:sz w:val="22"/>
          <w:szCs w:val="22"/>
          <w:lang w:val="en-US"/>
        </w:rPr>
        <w:t>, power electronics, motors and batteries are protected against damage and vehicle interiors are maintained at comfortable temperatures.</w:t>
      </w:r>
    </w:p>
    <w:p w14:paraId="76C9453B" w14:textId="77777777" w:rsidR="001B3596" w:rsidRPr="00111C16" w:rsidRDefault="00C377ED" w:rsidP="001B3596">
      <w:pPr>
        <w:spacing w:after="120" w:line="320" w:lineRule="atLeast"/>
        <w:ind w:right="2268"/>
        <w:rPr>
          <w:sz w:val="22"/>
          <w:szCs w:val="22"/>
          <w:lang w:val="en-US"/>
        </w:rPr>
      </w:pPr>
      <w:r>
        <w:rPr>
          <w:sz w:val="22"/>
          <w:szCs w:val="22"/>
          <w:lang w:val="en-US"/>
        </w:rPr>
        <w:t>“</w:t>
      </w:r>
      <w:r w:rsidR="00302741">
        <w:rPr>
          <w:sz w:val="22"/>
          <w:szCs w:val="22"/>
          <w:lang w:val="en-US"/>
        </w:rPr>
        <w:t>We</w:t>
      </w:r>
      <w:r w:rsidR="00302741" w:rsidRPr="00302741">
        <w:rPr>
          <w:sz w:val="22"/>
          <w:szCs w:val="22"/>
          <w:lang w:val="en-US"/>
        </w:rPr>
        <w:t xml:space="preserve"> have the advantage </w:t>
      </w:r>
      <w:r w:rsidR="00FD2B18">
        <w:rPr>
          <w:sz w:val="22"/>
          <w:szCs w:val="22"/>
          <w:lang w:val="en-US"/>
        </w:rPr>
        <w:t>of</w:t>
      </w:r>
      <w:r w:rsidR="00302741" w:rsidRPr="00302741">
        <w:rPr>
          <w:sz w:val="22"/>
          <w:szCs w:val="22"/>
          <w:lang w:val="en-US"/>
        </w:rPr>
        <w:t xml:space="preserve"> a very wide range of products. In many cases, these can rapidly be transferred from conventional internal combustion eng</w:t>
      </w:r>
      <w:r w:rsidR="00302741">
        <w:rPr>
          <w:sz w:val="22"/>
          <w:szCs w:val="22"/>
          <w:lang w:val="en-US"/>
        </w:rPr>
        <w:t>ines to e-mobility applications,</w:t>
      </w:r>
      <w:r w:rsidR="001B3596" w:rsidRPr="00111C16">
        <w:rPr>
          <w:sz w:val="22"/>
          <w:szCs w:val="22"/>
          <w:lang w:val="en-US"/>
        </w:rPr>
        <w:t>“</w:t>
      </w:r>
      <w:r w:rsidR="00302741">
        <w:rPr>
          <w:sz w:val="22"/>
          <w:szCs w:val="22"/>
          <w:lang w:val="en-US"/>
        </w:rPr>
        <w:t xml:space="preserve"> said </w:t>
      </w:r>
      <w:r w:rsidR="001B3596" w:rsidRPr="00111C16">
        <w:rPr>
          <w:sz w:val="22"/>
          <w:szCs w:val="22"/>
          <w:lang w:val="en-US"/>
        </w:rPr>
        <w:t>Frick</w:t>
      </w:r>
      <w:r w:rsidR="00302741">
        <w:rPr>
          <w:sz w:val="22"/>
          <w:szCs w:val="22"/>
          <w:lang w:val="en-US"/>
        </w:rPr>
        <w:t xml:space="preserve">, outlining the prospects for </w:t>
      </w:r>
      <w:r w:rsidR="001B3596" w:rsidRPr="00111C16">
        <w:rPr>
          <w:sz w:val="22"/>
          <w:szCs w:val="22"/>
          <w:lang w:val="en-US"/>
        </w:rPr>
        <w:t xml:space="preserve">MAHLE. </w:t>
      </w:r>
      <w:r w:rsidR="00302741" w:rsidRPr="00302741">
        <w:rPr>
          <w:sz w:val="22"/>
          <w:szCs w:val="22"/>
          <w:lang w:val="en-US"/>
        </w:rPr>
        <w:t>By 2030,</w:t>
      </w:r>
      <w:r w:rsidR="00302741">
        <w:rPr>
          <w:sz w:val="22"/>
          <w:szCs w:val="22"/>
          <w:lang w:val="en-US"/>
        </w:rPr>
        <w:t xml:space="preserve"> the company intends </w:t>
      </w:r>
      <w:r w:rsidR="00302741" w:rsidRPr="00302741">
        <w:rPr>
          <w:sz w:val="22"/>
          <w:szCs w:val="22"/>
          <w:lang w:val="en-US"/>
        </w:rPr>
        <w:t>to boost the share of sales generated independently from internal combustion engines for passenger cars</w:t>
      </w:r>
      <w:r w:rsidR="00302741">
        <w:rPr>
          <w:sz w:val="22"/>
          <w:szCs w:val="22"/>
          <w:lang w:val="en-US"/>
        </w:rPr>
        <w:t xml:space="preserve"> from the present figure of 60 percent</w:t>
      </w:r>
      <w:r w:rsidR="00302741" w:rsidRPr="00302741">
        <w:rPr>
          <w:sz w:val="22"/>
          <w:szCs w:val="22"/>
          <w:lang w:val="en-US"/>
        </w:rPr>
        <w:t xml:space="preserve"> to 75 percent.</w:t>
      </w:r>
    </w:p>
    <w:p w14:paraId="2271E86A" w14:textId="77777777" w:rsidR="001B3596" w:rsidRPr="00111C16" w:rsidRDefault="001B3596" w:rsidP="001B3596">
      <w:pPr>
        <w:spacing w:after="120" w:line="320" w:lineRule="atLeast"/>
        <w:ind w:right="2268"/>
        <w:rPr>
          <w:sz w:val="22"/>
          <w:szCs w:val="22"/>
          <w:lang w:val="en-US"/>
        </w:rPr>
      </w:pPr>
    </w:p>
    <w:p w14:paraId="06EDE747" w14:textId="77777777" w:rsidR="000255C1" w:rsidRPr="00111C16" w:rsidRDefault="000255C1" w:rsidP="001B3596">
      <w:pPr>
        <w:spacing w:after="120" w:line="320" w:lineRule="atLeast"/>
        <w:ind w:right="2268"/>
        <w:rPr>
          <w:sz w:val="22"/>
          <w:szCs w:val="22"/>
          <w:lang w:val="en-US"/>
        </w:rPr>
      </w:pPr>
    </w:p>
    <w:p w14:paraId="6FCE4E2E" w14:textId="77777777" w:rsidR="001D3520" w:rsidRPr="00111C16" w:rsidRDefault="00302741" w:rsidP="001D3520">
      <w:pPr>
        <w:shd w:val="clear" w:color="auto" w:fill="FFFFFF"/>
        <w:spacing w:after="360"/>
        <w:rPr>
          <w:rFonts w:eastAsia="Times New Roman" w:cs="Arial"/>
          <w:color w:val="auto"/>
          <w:spacing w:val="1"/>
          <w:sz w:val="22"/>
          <w:szCs w:val="22"/>
          <w:lang w:val="en-US" w:eastAsia="de-DE"/>
        </w:rPr>
      </w:pPr>
      <w:r>
        <w:rPr>
          <w:rFonts w:eastAsia="Times New Roman" w:cs="Arial"/>
          <w:b/>
          <w:bCs/>
          <w:color w:val="auto"/>
          <w:spacing w:val="1"/>
          <w:sz w:val="22"/>
          <w:szCs w:val="22"/>
          <w:lang w:val="en-US" w:eastAsia="de-DE"/>
        </w:rPr>
        <w:t xml:space="preserve">Key figures of </w:t>
      </w:r>
      <w:r w:rsidR="001D3520" w:rsidRPr="00111C16">
        <w:rPr>
          <w:rFonts w:eastAsia="Times New Roman" w:cs="Arial"/>
          <w:b/>
          <w:bCs/>
          <w:color w:val="auto"/>
          <w:spacing w:val="1"/>
          <w:sz w:val="22"/>
          <w:szCs w:val="22"/>
          <w:lang w:val="en-US" w:eastAsia="de-DE"/>
        </w:rPr>
        <w:t xml:space="preserve">MAHLE GmbH </w:t>
      </w:r>
      <w:r>
        <w:rPr>
          <w:rFonts w:eastAsia="Times New Roman" w:cs="Arial"/>
          <w:b/>
          <w:bCs/>
          <w:color w:val="auto"/>
          <w:spacing w:val="1"/>
          <w:sz w:val="22"/>
          <w:szCs w:val="22"/>
          <w:lang w:val="en-US" w:eastAsia="de-DE"/>
        </w:rPr>
        <w:t>compared with the prior-year period</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78"/>
        <w:gridCol w:w="1555"/>
        <w:gridCol w:w="1014"/>
      </w:tblGrid>
      <w:tr w:rsidR="001D3520" w:rsidRPr="00111C16" w14:paraId="53AE5997" w14:textId="77777777" w:rsidTr="00630FE1">
        <w:trPr>
          <w:tblCellSpacing w:w="15" w:type="dxa"/>
        </w:trPr>
        <w:tc>
          <w:tcPr>
            <w:tcW w:w="4633" w:type="dxa"/>
            <w:shd w:val="clear" w:color="auto" w:fill="FFFFFF"/>
            <w:vAlign w:val="center"/>
            <w:hideMark/>
          </w:tcPr>
          <w:p w14:paraId="589A2E2D" w14:textId="77777777" w:rsidR="001D3520" w:rsidRPr="00111C16" w:rsidRDefault="001D3520" w:rsidP="001D3520">
            <w:pPr>
              <w:spacing w:after="0"/>
              <w:rPr>
                <w:rFonts w:eastAsia="Times New Roman" w:cs="Arial"/>
                <w:color w:val="auto"/>
                <w:spacing w:val="1"/>
                <w:sz w:val="22"/>
                <w:szCs w:val="22"/>
                <w:lang w:val="en-US" w:eastAsia="de-DE"/>
              </w:rPr>
            </w:pPr>
            <w:r w:rsidRPr="00111C16">
              <w:rPr>
                <w:rFonts w:eastAsia="Times New Roman" w:cs="Arial"/>
                <w:color w:val="auto"/>
                <w:spacing w:val="1"/>
                <w:sz w:val="22"/>
                <w:szCs w:val="22"/>
                <w:lang w:val="en-US" w:eastAsia="de-DE"/>
              </w:rPr>
              <w:t> </w:t>
            </w:r>
          </w:p>
        </w:tc>
        <w:tc>
          <w:tcPr>
            <w:tcW w:w="1525" w:type="dxa"/>
            <w:shd w:val="clear" w:color="auto" w:fill="FFFFFF"/>
            <w:vAlign w:val="center"/>
            <w:hideMark/>
          </w:tcPr>
          <w:p w14:paraId="2DEA4ABE" w14:textId="77777777" w:rsidR="001D3520" w:rsidRPr="00111C16" w:rsidRDefault="00302741" w:rsidP="001D3520">
            <w:pPr>
              <w:spacing w:after="0"/>
              <w:rPr>
                <w:rFonts w:eastAsia="Times New Roman" w:cs="Arial"/>
                <w:color w:val="auto"/>
                <w:spacing w:val="1"/>
                <w:sz w:val="22"/>
                <w:szCs w:val="22"/>
                <w:lang w:val="en-US" w:eastAsia="de-DE"/>
              </w:rPr>
            </w:pPr>
            <w:r>
              <w:rPr>
                <w:rFonts w:eastAsia="Times New Roman" w:cs="Arial"/>
                <w:b/>
                <w:bCs/>
                <w:color w:val="auto"/>
                <w:spacing w:val="1"/>
                <w:sz w:val="22"/>
                <w:szCs w:val="22"/>
                <w:lang w:val="en-US" w:eastAsia="de-DE"/>
              </w:rPr>
              <w:t>First half</w:t>
            </w:r>
            <w:r w:rsidR="001D3520" w:rsidRPr="00111C16">
              <w:rPr>
                <w:rFonts w:eastAsia="Times New Roman" w:cs="Arial"/>
                <w:b/>
                <w:bCs/>
                <w:color w:val="auto"/>
                <w:spacing w:val="1"/>
                <w:sz w:val="22"/>
                <w:szCs w:val="22"/>
                <w:lang w:val="en-US" w:eastAsia="de-DE"/>
              </w:rPr>
              <w:br/>
              <w:t>2020</w:t>
            </w:r>
            <w:r w:rsidR="001D3520" w:rsidRPr="00111C16">
              <w:rPr>
                <w:rFonts w:eastAsia="Times New Roman" w:cs="Arial"/>
                <w:b/>
                <w:bCs/>
                <w:color w:val="auto"/>
                <w:spacing w:val="1"/>
                <w:sz w:val="22"/>
                <w:szCs w:val="22"/>
                <w:lang w:val="en-US" w:eastAsia="de-DE"/>
              </w:rPr>
              <w:br/>
            </w:r>
          </w:p>
        </w:tc>
        <w:tc>
          <w:tcPr>
            <w:tcW w:w="0" w:type="auto"/>
            <w:shd w:val="clear" w:color="auto" w:fill="FFFFFF"/>
            <w:vAlign w:val="center"/>
            <w:hideMark/>
          </w:tcPr>
          <w:p w14:paraId="10421F10" w14:textId="77777777" w:rsidR="001D3520" w:rsidRPr="00111C16" w:rsidRDefault="00302741" w:rsidP="001D3520">
            <w:pPr>
              <w:spacing w:after="0"/>
              <w:rPr>
                <w:rFonts w:eastAsia="Times New Roman" w:cs="Arial"/>
                <w:color w:val="auto"/>
                <w:spacing w:val="1"/>
                <w:sz w:val="22"/>
                <w:szCs w:val="22"/>
                <w:lang w:val="en-US" w:eastAsia="de-DE"/>
              </w:rPr>
            </w:pPr>
            <w:r>
              <w:rPr>
                <w:rFonts w:eastAsia="Times New Roman" w:cs="Arial"/>
                <w:b/>
                <w:bCs/>
                <w:color w:val="auto"/>
                <w:spacing w:val="1"/>
                <w:sz w:val="22"/>
                <w:szCs w:val="22"/>
                <w:lang w:val="en-US" w:eastAsia="de-DE"/>
              </w:rPr>
              <w:t>First half</w:t>
            </w:r>
            <w:r w:rsidR="001D3520" w:rsidRPr="00111C16">
              <w:rPr>
                <w:rFonts w:eastAsia="Times New Roman" w:cs="Arial"/>
                <w:b/>
                <w:bCs/>
                <w:color w:val="auto"/>
                <w:spacing w:val="1"/>
                <w:sz w:val="22"/>
                <w:szCs w:val="22"/>
                <w:lang w:val="en-US" w:eastAsia="de-DE"/>
              </w:rPr>
              <w:br/>
              <w:t>2021</w:t>
            </w:r>
          </w:p>
        </w:tc>
      </w:tr>
      <w:tr w:rsidR="001D3520" w:rsidRPr="00111C16" w14:paraId="487123D4" w14:textId="77777777" w:rsidTr="00630FE1">
        <w:trPr>
          <w:tblCellSpacing w:w="15" w:type="dxa"/>
        </w:trPr>
        <w:tc>
          <w:tcPr>
            <w:tcW w:w="4633" w:type="dxa"/>
            <w:shd w:val="clear" w:color="auto" w:fill="FFFFFF"/>
            <w:vAlign w:val="center"/>
            <w:hideMark/>
          </w:tcPr>
          <w:p w14:paraId="62AFD935" w14:textId="77777777" w:rsidR="001D3520" w:rsidRPr="00111C16" w:rsidRDefault="00302741" w:rsidP="00302741">
            <w:pPr>
              <w:spacing w:after="0"/>
              <w:rPr>
                <w:rFonts w:eastAsia="Times New Roman" w:cs="Arial"/>
                <w:color w:val="auto"/>
                <w:spacing w:val="1"/>
                <w:sz w:val="22"/>
                <w:szCs w:val="22"/>
                <w:lang w:val="en-US" w:eastAsia="de-DE"/>
              </w:rPr>
            </w:pPr>
            <w:r>
              <w:rPr>
                <w:rFonts w:eastAsia="Times New Roman" w:cs="Arial"/>
                <w:b/>
                <w:bCs/>
                <w:color w:val="auto"/>
                <w:spacing w:val="1"/>
                <w:sz w:val="22"/>
                <w:szCs w:val="22"/>
                <w:lang w:val="en-US" w:eastAsia="de-DE"/>
              </w:rPr>
              <w:t xml:space="preserve">Sales </w:t>
            </w:r>
            <w:r w:rsidR="00630FE1" w:rsidRPr="00111C16">
              <w:rPr>
                <w:rFonts w:eastAsia="Times New Roman" w:cs="Arial"/>
                <w:color w:val="auto"/>
                <w:spacing w:val="1"/>
                <w:sz w:val="22"/>
                <w:szCs w:val="22"/>
                <w:lang w:val="en-US" w:eastAsia="de-DE"/>
              </w:rPr>
              <w:t>(</w:t>
            </w:r>
            <w:r>
              <w:rPr>
                <w:rFonts w:eastAsia="Times New Roman" w:cs="Arial"/>
                <w:color w:val="auto"/>
                <w:spacing w:val="1"/>
                <w:sz w:val="22"/>
                <w:szCs w:val="22"/>
                <w:lang w:val="en-US" w:eastAsia="de-DE"/>
              </w:rPr>
              <w:t>in million euros</w:t>
            </w:r>
            <w:r w:rsidR="00630FE1" w:rsidRPr="00111C16">
              <w:rPr>
                <w:rFonts w:eastAsia="Times New Roman" w:cs="Arial"/>
                <w:color w:val="auto"/>
                <w:spacing w:val="1"/>
                <w:sz w:val="22"/>
                <w:szCs w:val="22"/>
                <w:lang w:val="en-US" w:eastAsia="de-DE"/>
              </w:rPr>
              <w:t>)</w:t>
            </w:r>
          </w:p>
        </w:tc>
        <w:tc>
          <w:tcPr>
            <w:tcW w:w="1525" w:type="dxa"/>
            <w:shd w:val="clear" w:color="auto" w:fill="FFFFFF"/>
            <w:vAlign w:val="center"/>
          </w:tcPr>
          <w:p w14:paraId="0F2CC0EA" w14:textId="77777777" w:rsidR="001D3520" w:rsidRPr="00111C16" w:rsidRDefault="001D3520" w:rsidP="00302741">
            <w:pPr>
              <w:spacing w:after="0"/>
              <w:rPr>
                <w:rFonts w:eastAsia="Times New Roman" w:cs="Arial"/>
                <w:color w:val="auto"/>
                <w:spacing w:val="1"/>
                <w:sz w:val="22"/>
                <w:szCs w:val="22"/>
                <w:lang w:val="en-US" w:eastAsia="de-DE"/>
              </w:rPr>
            </w:pPr>
            <w:r w:rsidRPr="00111C16">
              <w:rPr>
                <w:rFonts w:eastAsia="Times New Roman" w:cs="Arial"/>
                <w:color w:val="auto"/>
                <w:spacing w:val="1"/>
                <w:sz w:val="22"/>
                <w:szCs w:val="22"/>
                <w:lang w:val="en-US" w:eastAsia="de-DE"/>
              </w:rPr>
              <w:t>4</w:t>
            </w:r>
            <w:r w:rsidR="00302741">
              <w:rPr>
                <w:rFonts w:eastAsia="Times New Roman" w:cs="Arial"/>
                <w:color w:val="auto"/>
                <w:spacing w:val="1"/>
                <w:sz w:val="22"/>
                <w:szCs w:val="22"/>
                <w:lang w:val="en-US" w:eastAsia="de-DE"/>
              </w:rPr>
              <w:t>,</w:t>
            </w:r>
            <w:r w:rsidRPr="00111C16">
              <w:rPr>
                <w:rFonts w:eastAsia="Times New Roman" w:cs="Arial"/>
                <w:color w:val="auto"/>
                <w:spacing w:val="1"/>
                <w:sz w:val="22"/>
                <w:szCs w:val="22"/>
                <w:lang w:val="en-US" w:eastAsia="de-DE"/>
              </w:rPr>
              <w:t>278</w:t>
            </w:r>
          </w:p>
        </w:tc>
        <w:tc>
          <w:tcPr>
            <w:tcW w:w="0" w:type="auto"/>
            <w:shd w:val="clear" w:color="auto" w:fill="FFFFFF"/>
            <w:vAlign w:val="center"/>
          </w:tcPr>
          <w:p w14:paraId="42F191BF" w14:textId="77777777" w:rsidR="001D3520" w:rsidRPr="00111C16" w:rsidRDefault="001D3520" w:rsidP="00302741">
            <w:pPr>
              <w:spacing w:after="0"/>
              <w:rPr>
                <w:rFonts w:eastAsia="Times New Roman" w:cs="Arial"/>
                <w:color w:val="auto"/>
                <w:spacing w:val="1"/>
                <w:sz w:val="22"/>
                <w:szCs w:val="22"/>
                <w:lang w:val="en-US" w:eastAsia="de-DE"/>
              </w:rPr>
            </w:pPr>
            <w:r w:rsidRPr="00111C16">
              <w:rPr>
                <w:rFonts w:eastAsia="Times New Roman" w:cs="Arial"/>
                <w:color w:val="auto"/>
                <w:spacing w:val="1"/>
                <w:sz w:val="22"/>
                <w:szCs w:val="22"/>
                <w:lang w:val="en-US" w:eastAsia="de-DE"/>
              </w:rPr>
              <w:t>5</w:t>
            </w:r>
            <w:r w:rsidR="00302741">
              <w:rPr>
                <w:rFonts w:eastAsia="Times New Roman" w:cs="Arial"/>
                <w:color w:val="auto"/>
                <w:spacing w:val="1"/>
                <w:sz w:val="22"/>
                <w:szCs w:val="22"/>
                <w:lang w:val="en-US" w:eastAsia="de-DE"/>
              </w:rPr>
              <w:t>,</w:t>
            </w:r>
            <w:r w:rsidRPr="00111C16">
              <w:rPr>
                <w:rFonts w:eastAsia="Times New Roman" w:cs="Arial"/>
                <w:color w:val="auto"/>
                <w:spacing w:val="1"/>
                <w:sz w:val="22"/>
                <w:szCs w:val="22"/>
                <w:lang w:val="en-US" w:eastAsia="de-DE"/>
              </w:rPr>
              <w:t>661</w:t>
            </w:r>
          </w:p>
        </w:tc>
      </w:tr>
      <w:tr w:rsidR="001D3520" w:rsidRPr="00111C16" w14:paraId="4B3AEE3E" w14:textId="77777777" w:rsidTr="00630FE1">
        <w:trPr>
          <w:tblCellSpacing w:w="15" w:type="dxa"/>
        </w:trPr>
        <w:tc>
          <w:tcPr>
            <w:tcW w:w="4633" w:type="dxa"/>
            <w:shd w:val="clear" w:color="auto" w:fill="FFFFFF"/>
            <w:vAlign w:val="center"/>
            <w:hideMark/>
          </w:tcPr>
          <w:p w14:paraId="377854E2" w14:textId="431D0D75" w:rsidR="00630FE1" w:rsidRPr="00111C16" w:rsidRDefault="008B0BE3" w:rsidP="002C3488">
            <w:pPr>
              <w:spacing w:after="0"/>
              <w:rPr>
                <w:rFonts w:eastAsia="Times New Roman" w:cs="Arial"/>
                <w:b/>
                <w:bCs/>
                <w:color w:val="auto"/>
                <w:spacing w:val="1"/>
                <w:sz w:val="22"/>
                <w:szCs w:val="22"/>
                <w:lang w:val="en-US" w:eastAsia="de-DE"/>
              </w:rPr>
            </w:pPr>
            <w:r>
              <w:rPr>
                <w:rFonts w:eastAsia="Times New Roman" w:cs="Arial"/>
                <w:b/>
                <w:bCs/>
                <w:color w:val="auto"/>
                <w:spacing w:val="1"/>
                <w:sz w:val="22"/>
                <w:szCs w:val="22"/>
                <w:lang w:val="en-US" w:eastAsia="de-DE"/>
              </w:rPr>
              <w:t>EBIT</w:t>
            </w:r>
            <w:r w:rsidR="002C3488">
              <w:rPr>
                <w:rFonts w:eastAsia="Times New Roman" w:cs="Arial"/>
                <w:b/>
                <w:bCs/>
                <w:color w:val="auto"/>
                <w:spacing w:val="1"/>
                <w:sz w:val="22"/>
                <w:szCs w:val="22"/>
                <w:lang w:val="en-US" w:eastAsia="de-DE"/>
              </w:rPr>
              <w:t xml:space="preserve"> </w:t>
            </w:r>
            <w:r w:rsidR="00630FE1" w:rsidRPr="00111C16">
              <w:rPr>
                <w:rFonts w:eastAsia="Times New Roman" w:cs="Arial"/>
                <w:color w:val="auto"/>
                <w:spacing w:val="1"/>
                <w:sz w:val="22"/>
                <w:szCs w:val="22"/>
                <w:lang w:val="en-US" w:eastAsia="de-DE"/>
              </w:rPr>
              <w:t>(</w:t>
            </w:r>
            <w:r w:rsidR="002C3488">
              <w:rPr>
                <w:rFonts w:eastAsia="Times New Roman" w:cs="Arial"/>
                <w:color w:val="auto"/>
                <w:spacing w:val="1"/>
                <w:sz w:val="22"/>
                <w:szCs w:val="22"/>
                <w:lang w:val="en-US" w:eastAsia="de-DE"/>
              </w:rPr>
              <w:t>in million euros</w:t>
            </w:r>
            <w:r w:rsidR="00630FE1" w:rsidRPr="00111C16">
              <w:rPr>
                <w:rFonts w:eastAsia="Times New Roman" w:cs="Arial"/>
                <w:color w:val="auto"/>
                <w:spacing w:val="1"/>
                <w:sz w:val="22"/>
                <w:szCs w:val="22"/>
                <w:lang w:val="en-US" w:eastAsia="de-DE"/>
              </w:rPr>
              <w:t>)</w:t>
            </w:r>
          </w:p>
        </w:tc>
        <w:tc>
          <w:tcPr>
            <w:tcW w:w="1525" w:type="dxa"/>
            <w:shd w:val="clear" w:color="auto" w:fill="FFFFFF"/>
            <w:vAlign w:val="center"/>
          </w:tcPr>
          <w:p w14:paraId="1E5D25EA" w14:textId="6C4A4A30" w:rsidR="001D3520" w:rsidRPr="00111C16" w:rsidRDefault="001D3520" w:rsidP="002C3488">
            <w:pPr>
              <w:spacing w:after="0"/>
              <w:rPr>
                <w:rFonts w:eastAsia="Times New Roman" w:cs="Arial"/>
                <w:color w:val="auto"/>
                <w:spacing w:val="1"/>
                <w:sz w:val="22"/>
                <w:szCs w:val="22"/>
                <w:lang w:val="en-US" w:eastAsia="de-DE"/>
              </w:rPr>
            </w:pPr>
            <w:r w:rsidRPr="00111C16">
              <w:rPr>
                <w:rFonts w:eastAsia="Times New Roman" w:cs="Arial"/>
                <w:color w:val="auto"/>
                <w:spacing w:val="1"/>
                <w:sz w:val="22"/>
                <w:szCs w:val="22"/>
                <w:lang w:val="en-US" w:eastAsia="de-DE"/>
              </w:rPr>
              <w:t>-146</w:t>
            </w:r>
            <w:r w:rsidR="0048188C">
              <w:rPr>
                <w:rFonts w:eastAsia="Times New Roman" w:cs="Arial"/>
                <w:color w:val="auto"/>
                <w:spacing w:val="1"/>
                <w:sz w:val="22"/>
                <w:szCs w:val="22"/>
                <w:lang w:val="en-US" w:eastAsia="de-DE"/>
              </w:rPr>
              <w:t>.</w:t>
            </w:r>
            <w:r w:rsidRPr="00111C16">
              <w:rPr>
                <w:rFonts w:eastAsia="Times New Roman" w:cs="Arial"/>
                <w:color w:val="auto"/>
                <w:spacing w:val="1"/>
                <w:sz w:val="22"/>
                <w:szCs w:val="22"/>
                <w:lang w:val="en-US" w:eastAsia="de-DE"/>
              </w:rPr>
              <w:t>1</w:t>
            </w:r>
          </w:p>
        </w:tc>
        <w:tc>
          <w:tcPr>
            <w:tcW w:w="0" w:type="auto"/>
            <w:shd w:val="clear" w:color="auto" w:fill="FFFFFF"/>
            <w:vAlign w:val="center"/>
          </w:tcPr>
          <w:p w14:paraId="7684443E" w14:textId="0519335E" w:rsidR="001D3520" w:rsidRPr="00111C16" w:rsidRDefault="002C3488" w:rsidP="001D3520">
            <w:pPr>
              <w:spacing w:after="0"/>
              <w:rPr>
                <w:rFonts w:eastAsia="Times New Roman" w:cs="Arial"/>
                <w:color w:val="auto"/>
                <w:spacing w:val="1"/>
                <w:sz w:val="22"/>
                <w:szCs w:val="22"/>
                <w:lang w:val="en-US" w:eastAsia="de-DE"/>
              </w:rPr>
            </w:pPr>
            <w:r>
              <w:rPr>
                <w:rFonts w:eastAsia="Times New Roman" w:cs="Arial"/>
                <w:color w:val="auto"/>
                <w:spacing w:val="1"/>
                <w:sz w:val="22"/>
                <w:szCs w:val="22"/>
                <w:lang w:val="en-US" w:eastAsia="de-DE"/>
              </w:rPr>
              <w:t>200</w:t>
            </w:r>
            <w:r w:rsidR="0048188C">
              <w:rPr>
                <w:rFonts w:eastAsia="Times New Roman" w:cs="Arial"/>
                <w:color w:val="auto"/>
                <w:spacing w:val="1"/>
                <w:sz w:val="22"/>
                <w:szCs w:val="22"/>
                <w:lang w:val="en-US" w:eastAsia="de-DE"/>
              </w:rPr>
              <w:t>.</w:t>
            </w:r>
            <w:r w:rsidR="001D3520" w:rsidRPr="00111C16">
              <w:rPr>
                <w:rFonts w:eastAsia="Times New Roman" w:cs="Arial"/>
                <w:color w:val="auto"/>
                <w:spacing w:val="1"/>
                <w:sz w:val="22"/>
                <w:szCs w:val="22"/>
                <w:lang w:val="en-US" w:eastAsia="de-DE"/>
              </w:rPr>
              <w:t>6</w:t>
            </w:r>
          </w:p>
        </w:tc>
      </w:tr>
      <w:tr w:rsidR="00630FE1" w:rsidRPr="00111C16" w14:paraId="3D4E5593" w14:textId="77777777" w:rsidTr="00630FE1">
        <w:trPr>
          <w:tblCellSpacing w:w="15" w:type="dxa"/>
        </w:trPr>
        <w:tc>
          <w:tcPr>
            <w:tcW w:w="4633" w:type="dxa"/>
            <w:shd w:val="clear" w:color="auto" w:fill="FFFFFF"/>
            <w:vAlign w:val="center"/>
          </w:tcPr>
          <w:p w14:paraId="2ED293C5" w14:textId="4C9A1785" w:rsidR="00630FE1" w:rsidRPr="00111C16" w:rsidDel="00630FE1" w:rsidRDefault="008B0BE3" w:rsidP="002C3488">
            <w:pPr>
              <w:spacing w:after="0"/>
              <w:rPr>
                <w:rFonts w:eastAsia="Times New Roman" w:cs="Arial"/>
                <w:b/>
                <w:bCs/>
                <w:color w:val="auto"/>
                <w:spacing w:val="1"/>
                <w:sz w:val="22"/>
                <w:szCs w:val="22"/>
                <w:lang w:val="en-US" w:eastAsia="de-DE"/>
              </w:rPr>
            </w:pPr>
            <w:r>
              <w:rPr>
                <w:rFonts w:eastAsia="Times New Roman" w:cs="Arial"/>
                <w:b/>
                <w:bCs/>
                <w:color w:val="auto"/>
                <w:spacing w:val="1"/>
                <w:sz w:val="22"/>
                <w:szCs w:val="22"/>
                <w:lang w:val="en-US" w:eastAsia="de-DE"/>
              </w:rPr>
              <w:t>EBIT-</w:t>
            </w:r>
            <w:r w:rsidRPr="008234A5">
              <w:rPr>
                <w:rFonts w:eastAsia="Times New Roman" w:cs="Arial"/>
                <w:b/>
                <w:bCs/>
                <w:color w:val="auto"/>
                <w:spacing w:val="1"/>
                <w:sz w:val="22"/>
                <w:szCs w:val="22"/>
                <w:lang w:val="en-US" w:eastAsia="de-DE"/>
              </w:rPr>
              <w:t>M</w:t>
            </w:r>
            <w:r w:rsidR="002C3488" w:rsidRPr="008234A5">
              <w:rPr>
                <w:rFonts w:eastAsia="Times New Roman" w:cs="Arial"/>
                <w:b/>
                <w:bCs/>
                <w:color w:val="auto"/>
                <w:spacing w:val="1"/>
                <w:sz w:val="22"/>
                <w:szCs w:val="22"/>
                <w:lang w:val="en-US" w:eastAsia="de-DE"/>
              </w:rPr>
              <w:t>argin</w:t>
            </w:r>
            <w:r w:rsidR="002C3488">
              <w:rPr>
                <w:rFonts w:eastAsia="Times New Roman" w:cs="Arial"/>
                <w:color w:val="auto"/>
                <w:spacing w:val="1"/>
                <w:sz w:val="22"/>
                <w:szCs w:val="22"/>
                <w:lang w:val="en-US" w:eastAsia="de-DE"/>
              </w:rPr>
              <w:t xml:space="preserve"> </w:t>
            </w:r>
            <w:r>
              <w:rPr>
                <w:rFonts w:eastAsia="Times New Roman" w:cs="Arial"/>
                <w:color w:val="auto"/>
                <w:spacing w:val="1"/>
                <w:sz w:val="22"/>
                <w:szCs w:val="22"/>
                <w:lang w:val="en-US" w:eastAsia="de-DE"/>
              </w:rPr>
              <w:t>(</w:t>
            </w:r>
            <w:r w:rsidR="002C3488">
              <w:rPr>
                <w:rFonts w:eastAsia="Times New Roman" w:cs="Arial"/>
                <w:color w:val="auto"/>
                <w:spacing w:val="1"/>
                <w:sz w:val="22"/>
                <w:szCs w:val="22"/>
                <w:lang w:val="en-US" w:eastAsia="de-DE"/>
              </w:rPr>
              <w:t>in percent</w:t>
            </w:r>
            <w:r w:rsidR="00630FE1" w:rsidRPr="008234A5">
              <w:rPr>
                <w:rFonts w:eastAsia="Times New Roman" w:cs="Arial"/>
                <w:color w:val="auto"/>
                <w:spacing w:val="1"/>
                <w:sz w:val="22"/>
                <w:szCs w:val="22"/>
                <w:lang w:val="en-US" w:eastAsia="de-DE"/>
              </w:rPr>
              <w:t>)</w:t>
            </w:r>
            <w:r w:rsidR="00630FE1" w:rsidRPr="00111C16">
              <w:rPr>
                <w:rFonts w:eastAsia="Times New Roman" w:cs="Arial"/>
                <w:b/>
                <w:bCs/>
                <w:color w:val="auto"/>
                <w:spacing w:val="1"/>
                <w:sz w:val="22"/>
                <w:szCs w:val="22"/>
                <w:lang w:val="en-US" w:eastAsia="de-DE"/>
              </w:rPr>
              <w:t xml:space="preserve"> </w:t>
            </w:r>
          </w:p>
        </w:tc>
        <w:tc>
          <w:tcPr>
            <w:tcW w:w="1525" w:type="dxa"/>
            <w:shd w:val="clear" w:color="auto" w:fill="FFFFFF"/>
            <w:vAlign w:val="center"/>
          </w:tcPr>
          <w:p w14:paraId="5F7BBED6" w14:textId="39CCB9A7" w:rsidR="00630FE1" w:rsidRPr="00111C16" w:rsidRDefault="002C3488" w:rsidP="001D3520">
            <w:pPr>
              <w:spacing w:after="0"/>
              <w:rPr>
                <w:rFonts w:eastAsia="Times New Roman" w:cs="Arial"/>
                <w:color w:val="auto"/>
                <w:spacing w:val="1"/>
                <w:sz w:val="22"/>
                <w:szCs w:val="22"/>
                <w:lang w:val="en-US" w:eastAsia="de-DE"/>
              </w:rPr>
            </w:pPr>
            <w:r>
              <w:rPr>
                <w:rFonts w:eastAsia="Times New Roman" w:cs="Arial"/>
                <w:color w:val="auto"/>
                <w:spacing w:val="1"/>
                <w:sz w:val="22"/>
                <w:szCs w:val="22"/>
                <w:lang w:val="en-US" w:eastAsia="de-DE"/>
              </w:rPr>
              <w:t>-</w:t>
            </w:r>
            <w:r w:rsidR="002E0430">
              <w:rPr>
                <w:rFonts w:eastAsia="Times New Roman" w:cs="Arial"/>
                <w:color w:val="auto"/>
                <w:spacing w:val="1"/>
                <w:sz w:val="22"/>
                <w:szCs w:val="22"/>
                <w:lang w:val="en-US" w:eastAsia="de-DE"/>
              </w:rPr>
              <w:t>3.4</w:t>
            </w:r>
          </w:p>
        </w:tc>
        <w:tc>
          <w:tcPr>
            <w:tcW w:w="0" w:type="auto"/>
            <w:shd w:val="clear" w:color="auto" w:fill="FFFFFF"/>
            <w:vAlign w:val="center"/>
          </w:tcPr>
          <w:p w14:paraId="29550284" w14:textId="5230776F" w:rsidR="00630FE1" w:rsidRPr="00111C16" w:rsidRDefault="002E0430" w:rsidP="001D3520">
            <w:pPr>
              <w:spacing w:after="0"/>
              <w:rPr>
                <w:rFonts w:eastAsia="Times New Roman" w:cs="Arial"/>
                <w:color w:val="auto"/>
                <w:spacing w:val="1"/>
                <w:sz w:val="22"/>
                <w:szCs w:val="22"/>
                <w:lang w:val="en-US" w:eastAsia="de-DE"/>
              </w:rPr>
            </w:pPr>
            <w:r>
              <w:rPr>
                <w:rFonts w:eastAsia="Times New Roman" w:cs="Arial"/>
                <w:color w:val="auto"/>
                <w:spacing w:val="1"/>
                <w:sz w:val="22"/>
                <w:szCs w:val="22"/>
                <w:lang w:val="en-US" w:eastAsia="de-DE"/>
              </w:rPr>
              <w:t>3.5</w:t>
            </w:r>
          </w:p>
        </w:tc>
      </w:tr>
      <w:tr w:rsidR="001D3520" w:rsidRPr="00111C16" w14:paraId="74F6244C" w14:textId="77777777" w:rsidTr="00630FE1">
        <w:trPr>
          <w:tblCellSpacing w:w="15" w:type="dxa"/>
        </w:trPr>
        <w:tc>
          <w:tcPr>
            <w:tcW w:w="4633" w:type="dxa"/>
            <w:shd w:val="clear" w:color="auto" w:fill="FFFFFF"/>
            <w:vAlign w:val="center"/>
            <w:hideMark/>
          </w:tcPr>
          <w:p w14:paraId="0135B728" w14:textId="77777777" w:rsidR="001D3520" w:rsidRPr="00111C16" w:rsidRDefault="002C3488" w:rsidP="002C3488">
            <w:pPr>
              <w:spacing w:after="0"/>
              <w:rPr>
                <w:rFonts w:eastAsia="Times New Roman" w:cs="Arial"/>
                <w:color w:val="auto"/>
                <w:spacing w:val="1"/>
                <w:sz w:val="22"/>
                <w:szCs w:val="22"/>
                <w:lang w:val="en-US" w:eastAsia="de-DE"/>
              </w:rPr>
            </w:pPr>
            <w:r>
              <w:rPr>
                <w:rFonts w:eastAsia="Times New Roman" w:cs="Arial"/>
                <w:b/>
                <w:bCs/>
                <w:color w:val="auto"/>
                <w:spacing w:val="1"/>
                <w:sz w:val="22"/>
                <w:szCs w:val="22"/>
                <w:lang w:val="en-US" w:eastAsia="de-DE"/>
              </w:rPr>
              <w:t xml:space="preserve">Net income </w:t>
            </w:r>
            <w:r w:rsidR="00630FE1" w:rsidRPr="00111C16">
              <w:rPr>
                <w:rFonts w:eastAsia="Times New Roman" w:cs="Arial"/>
                <w:color w:val="auto"/>
                <w:spacing w:val="1"/>
                <w:sz w:val="22"/>
                <w:szCs w:val="22"/>
                <w:lang w:val="en-US" w:eastAsia="de-DE"/>
              </w:rPr>
              <w:t>(</w:t>
            </w:r>
            <w:r>
              <w:rPr>
                <w:rFonts w:eastAsia="Times New Roman" w:cs="Arial"/>
                <w:color w:val="auto"/>
                <w:spacing w:val="1"/>
                <w:sz w:val="22"/>
                <w:szCs w:val="22"/>
                <w:lang w:val="en-US" w:eastAsia="de-DE"/>
              </w:rPr>
              <w:t>in million euros</w:t>
            </w:r>
            <w:r w:rsidR="00630FE1" w:rsidRPr="00111C16">
              <w:rPr>
                <w:rFonts w:eastAsia="Times New Roman" w:cs="Arial"/>
                <w:color w:val="auto"/>
                <w:spacing w:val="1"/>
                <w:sz w:val="22"/>
                <w:szCs w:val="22"/>
                <w:lang w:val="en-US" w:eastAsia="de-DE"/>
              </w:rPr>
              <w:t>)</w:t>
            </w:r>
          </w:p>
        </w:tc>
        <w:tc>
          <w:tcPr>
            <w:tcW w:w="1525" w:type="dxa"/>
            <w:shd w:val="clear" w:color="auto" w:fill="FFFFFF"/>
            <w:vAlign w:val="center"/>
          </w:tcPr>
          <w:p w14:paraId="04C02957" w14:textId="77777777" w:rsidR="001D3520" w:rsidRPr="00111C16" w:rsidRDefault="001D3520" w:rsidP="002C3488">
            <w:pPr>
              <w:spacing w:after="0"/>
              <w:rPr>
                <w:rFonts w:eastAsia="Times New Roman" w:cs="Arial"/>
                <w:color w:val="auto"/>
                <w:spacing w:val="1"/>
                <w:sz w:val="22"/>
                <w:szCs w:val="22"/>
                <w:lang w:val="en-US" w:eastAsia="de-DE"/>
              </w:rPr>
            </w:pPr>
            <w:r w:rsidRPr="00111C16">
              <w:rPr>
                <w:rFonts w:eastAsia="Times New Roman" w:cs="Arial"/>
                <w:color w:val="auto"/>
                <w:spacing w:val="1"/>
                <w:sz w:val="22"/>
                <w:szCs w:val="22"/>
                <w:lang w:val="en-US" w:eastAsia="de-DE"/>
              </w:rPr>
              <w:t>-292</w:t>
            </w:r>
            <w:r w:rsidR="002C3488">
              <w:rPr>
                <w:rFonts w:eastAsia="Times New Roman" w:cs="Arial"/>
                <w:color w:val="auto"/>
                <w:spacing w:val="1"/>
                <w:sz w:val="22"/>
                <w:szCs w:val="22"/>
                <w:lang w:val="en-US" w:eastAsia="de-DE"/>
              </w:rPr>
              <w:t>.</w:t>
            </w:r>
            <w:r w:rsidRPr="00111C16">
              <w:rPr>
                <w:rFonts w:eastAsia="Times New Roman" w:cs="Arial"/>
                <w:color w:val="auto"/>
                <w:spacing w:val="1"/>
                <w:sz w:val="22"/>
                <w:szCs w:val="22"/>
                <w:lang w:val="en-US" w:eastAsia="de-DE"/>
              </w:rPr>
              <w:t>8</w:t>
            </w:r>
          </w:p>
        </w:tc>
        <w:tc>
          <w:tcPr>
            <w:tcW w:w="0" w:type="auto"/>
            <w:shd w:val="clear" w:color="auto" w:fill="FFFFFF"/>
            <w:vAlign w:val="center"/>
          </w:tcPr>
          <w:p w14:paraId="5AFE9DBC" w14:textId="77777777" w:rsidR="001D3520" w:rsidRPr="00111C16" w:rsidRDefault="001D3520" w:rsidP="002C3488">
            <w:pPr>
              <w:spacing w:after="0"/>
              <w:rPr>
                <w:rFonts w:eastAsia="Times New Roman" w:cs="Arial"/>
                <w:color w:val="auto"/>
                <w:spacing w:val="1"/>
                <w:sz w:val="22"/>
                <w:szCs w:val="22"/>
                <w:lang w:val="en-US" w:eastAsia="de-DE"/>
              </w:rPr>
            </w:pPr>
            <w:r w:rsidRPr="00111C16">
              <w:rPr>
                <w:rFonts w:eastAsia="Times New Roman" w:cs="Arial"/>
                <w:color w:val="auto"/>
                <w:spacing w:val="1"/>
                <w:sz w:val="22"/>
                <w:szCs w:val="22"/>
                <w:lang w:val="en-US" w:eastAsia="de-DE"/>
              </w:rPr>
              <w:t>54</w:t>
            </w:r>
            <w:r w:rsidR="002C3488">
              <w:rPr>
                <w:rFonts w:eastAsia="Times New Roman" w:cs="Arial"/>
                <w:color w:val="auto"/>
                <w:spacing w:val="1"/>
                <w:sz w:val="22"/>
                <w:szCs w:val="22"/>
                <w:lang w:val="en-US" w:eastAsia="de-DE"/>
              </w:rPr>
              <w:t>.</w:t>
            </w:r>
            <w:r w:rsidRPr="00111C16">
              <w:rPr>
                <w:rFonts w:eastAsia="Times New Roman" w:cs="Arial"/>
                <w:color w:val="auto"/>
                <w:spacing w:val="1"/>
                <w:sz w:val="22"/>
                <w:szCs w:val="22"/>
                <w:lang w:val="en-US" w:eastAsia="de-DE"/>
              </w:rPr>
              <w:t>9</w:t>
            </w:r>
          </w:p>
        </w:tc>
      </w:tr>
      <w:tr w:rsidR="001D3520" w:rsidRPr="00111C16" w14:paraId="728F9E81" w14:textId="77777777" w:rsidTr="00630FE1">
        <w:trPr>
          <w:tblCellSpacing w:w="15" w:type="dxa"/>
        </w:trPr>
        <w:tc>
          <w:tcPr>
            <w:tcW w:w="4633" w:type="dxa"/>
            <w:shd w:val="clear" w:color="auto" w:fill="FFFFFF"/>
            <w:vAlign w:val="center"/>
          </w:tcPr>
          <w:p w14:paraId="21DB60E3" w14:textId="77777777" w:rsidR="001D3520" w:rsidRPr="00111C16" w:rsidRDefault="001D3520" w:rsidP="001D3520">
            <w:pPr>
              <w:spacing w:after="0"/>
              <w:rPr>
                <w:rFonts w:eastAsia="Times New Roman" w:cs="Arial"/>
                <w:color w:val="auto"/>
                <w:spacing w:val="1"/>
                <w:sz w:val="22"/>
                <w:szCs w:val="22"/>
                <w:lang w:val="en-US" w:eastAsia="de-DE"/>
              </w:rPr>
            </w:pPr>
          </w:p>
        </w:tc>
        <w:tc>
          <w:tcPr>
            <w:tcW w:w="1525" w:type="dxa"/>
            <w:shd w:val="clear" w:color="auto" w:fill="FFFFFF"/>
            <w:vAlign w:val="center"/>
          </w:tcPr>
          <w:p w14:paraId="78209FE1" w14:textId="77777777" w:rsidR="001D3520" w:rsidRPr="00111C16" w:rsidRDefault="001D3520" w:rsidP="001D3520">
            <w:pPr>
              <w:spacing w:after="0"/>
              <w:rPr>
                <w:rFonts w:eastAsia="Times New Roman" w:cs="Arial"/>
                <w:color w:val="auto"/>
                <w:spacing w:val="1"/>
                <w:sz w:val="22"/>
                <w:szCs w:val="22"/>
                <w:lang w:val="en-US" w:eastAsia="de-DE"/>
              </w:rPr>
            </w:pPr>
          </w:p>
        </w:tc>
        <w:tc>
          <w:tcPr>
            <w:tcW w:w="0" w:type="auto"/>
            <w:shd w:val="clear" w:color="auto" w:fill="FFFFFF"/>
            <w:vAlign w:val="center"/>
          </w:tcPr>
          <w:p w14:paraId="16A27C84" w14:textId="77777777" w:rsidR="001D3520" w:rsidRPr="00111C16" w:rsidRDefault="001D3520" w:rsidP="001D3520">
            <w:pPr>
              <w:spacing w:after="0"/>
              <w:rPr>
                <w:rFonts w:eastAsia="Times New Roman" w:cs="Arial"/>
                <w:color w:val="auto"/>
                <w:spacing w:val="1"/>
                <w:sz w:val="22"/>
                <w:szCs w:val="22"/>
                <w:lang w:val="en-US" w:eastAsia="de-DE"/>
              </w:rPr>
            </w:pPr>
          </w:p>
        </w:tc>
      </w:tr>
      <w:tr w:rsidR="001D3520" w:rsidRPr="00111C16" w14:paraId="31CF12F0" w14:textId="77777777" w:rsidTr="00630FE1">
        <w:trPr>
          <w:tblCellSpacing w:w="15" w:type="dxa"/>
        </w:trPr>
        <w:tc>
          <w:tcPr>
            <w:tcW w:w="4633" w:type="dxa"/>
            <w:shd w:val="clear" w:color="auto" w:fill="FFFFFF"/>
            <w:vAlign w:val="center"/>
          </w:tcPr>
          <w:p w14:paraId="0AC0B0CE" w14:textId="62242CA9" w:rsidR="001D3520" w:rsidRPr="00111C16" w:rsidRDefault="002C3488" w:rsidP="00F40249">
            <w:pPr>
              <w:spacing w:after="0"/>
              <w:rPr>
                <w:rFonts w:eastAsia="Times New Roman" w:cs="Arial"/>
                <w:b/>
                <w:bCs/>
                <w:color w:val="auto"/>
                <w:spacing w:val="1"/>
                <w:sz w:val="22"/>
                <w:szCs w:val="22"/>
                <w:lang w:val="en-US" w:eastAsia="de-DE"/>
              </w:rPr>
            </w:pPr>
            <w:r>
              <w:rPr>
                <w:rFonts w:eastAsia="Times New Roman" w:cs="Arial"/>
                <w:b/>
                <w:bCs/>
                <w:color w:val="auto"/>
                <w:spacing w:val="1"/>
                <w:sz w:val="22"/>
                <w:szCs w:val="22"/>
                <w:lang w:val="en-US" w:eastAsia="de-DE"/>
              </w:rPr>
              <w:t xml:space="preserve">Net debt (as of </w:t>
            </w:r>
            <w:r w:rsidR="00F40249">
              <w:rPr>
                <w:rFonts w:eastAsia="Times New Roman" w:cs="Arial"/>
                <w:b/>
                <w:bCs/>
                <w:color w:val="auto"/>
                <w:spacing w:val="1"/>
                <w:sz w:val="22"/>
                <w:szCs w:val="22"/>
                <w:lang w:val="en-US" w:eastAsia="de-DE"/>
              </w:rPr>
              <w:t>reporting</w:t>
            </w:r>
            <w:r>
              <w:rPr>
                <w:rFonts w:eastAsia="Times New Roman" w:cs="Arial"/>
                <w:b/>
                <w:bCs/>
                <w:color w:val="auto"/>
                <w:spacing w:val="1"/>
                <w:sz w:val="22"/>
                <w:szCs w:val="22"/>
                <w:lang w:val="en-US" w:eastAsia="de-DE"/>
              </w:rPr>
              <w:t xml:space="preserve"> date</w:t>
            </w:r>
            <w:r w:rsidR="00630FE1" w:rsidRPr="00111C16">
              <w:rPr>
                <w:rFonts w:eastAsia="Times New Roman" w:cs="Arial"/>
                <w:b/>
                <w:bCs/>
                <w:color w:val="auto"/>
                <w:spacing w:val="1"/>
                <w:sz w:val="22"/>
                <w:szCs w:val="22"/>
                <w:lang w:val="en-US" w:eastAsia="de-DE"/>
              </w:rPr>
              <w:t>)</w:t>
            </w:r>
            <w:r w:rsidR="008B0BE3">
              <w:rPr>
                <w:rFonts w:eastAsia="Times New Roman" w:cs="Arial"/>
                <w:b/>
                <w:bCs/>
                <w:color w:val="auto"/>
                <w:spacing w:val="1"/>
                <w:sz w:val="22"/>
                <w:szCs w:val="22"/>
                <w:vertAlign w:val="superscript"/>
                <w:lang w:val="en-US" w:eastAsia="de-DE"/>
              </w:rPr>
              <w:t>1</w:t>
            </w:r>
            <w:r w:rsidR="008B0BE3" w:rsidRPr="00111C16">
              <w:rPr>
                <w:rFonts w:eastAsia="Times New Roman" w:cs="Arial"/>
                <w:b/>
                <w:bCs/>
                <w:color w:val="auto"/>
                <w:spacing w:val="1"/>
                <w:sz w:val="22"/>
                <w:szCs w:val="22"/>
                <w:vertAlign w:val="superscript"/>
                <w:lang w:val="en-US" w:eastAsia="de-DE"/>
              </w:rPr>
              <w:t xml:space="preserve"> </w:t>
            </w:r>
            <w:r>
              <w:rPr>
                <w:rFonts w:eastAsia="Times New Roman" w:cs="Arial"/>
                <w:b/>
                <w:bCs/>
                <w:color w:val="auto"/>
                <w:spacing w:val="1"/>
                <w:sz w:val="22"/>
                <w:szCs w:val="22"/>
                <w:lang w:val="en-US" w:eastAsia="de-DE"/>
              </w:rPr>
              <w:t>in million euros</w:t>
            </w:r>
          </w:p>
        </w:tc>
        <w:tc>
          <w:tcPr>
            <w:tcW w:w="1525" w:type="dxa"/>
            <w:shd w:val="clear" w:color="auto" w:fill="FFFFFF"/>
            <w:vAlign w:val="center"/>
          </w:tcPr>
          <w:p w14:paraId="1D4B7EB8" w14:textId="77777777" w:rsidR="001D3520" w:rsidRPr="00111C16" w:rsidRDefault="00630FE1" w:rsidP="001D3520">
            <w:pPr>
              <w:spacing w:after="0"/>
              <w:rPr>
                <w:rFonts w:eastAsia="Times New Roman" w:cs="Arial"/>
                <w:color w:val="auto"/>
                <w:spacing w:val="1"/>
                <w:sz w:val="22"/>
                <w:szCs w:val="22"/>
                <w:lang w:val="en-US" w:eastAsia="de-DE"/>
              </w:rPr>
            </w:pPr>
            <w:r w:rsidRPr="00111C16">
              <w:rPr>
                <w:rFonts w:eastAsia="Times New Roman" w:cs="Arial"/>
                <w:color w:val="auto"/>
                <w:spacing w:val="1"/>
                <w:sz w:val="22"/>
                <w:szCs w:val="22"/>
                <w:lang w:val="en-US" w:eastAsia="de-DE"/>
              </w:rPr>
              <w:t xml:space="preserve">925 </w:t>
            </w:r>
          </w:p>
        </w:tc>
        <w:tc>
          <w:tcPr>
            <w:tcW w:w="0" w:type="auto"/>
            <w:shd w:val="clear" w:color="auto" w:fill="FFFFFF"/>
            <w:vAlign w:val="center"/>
          </w:tcPr>
          <w:p w14:paraId="74490EF0" w14:textId="77777777" w:rsidR="001D3520" w:rsidRPr="00111C16" w:rsidRDefault="00630FE1" w:rsidP="001D3520">
            <w:pPr>
              <w:spacing w:after="0"/>
              <w:rPr>
                <w:rFonts w:eastAsia="Times New Roman" w:cs="Arial"/>
                <w:color w:val="auto"/>
                <w:spacing w:val="1"/>
                <w:sz w:val="22"/>
                <w:szCs w:val="22"/>
                <w:lang w:val="en-US" w:eastAsia="de-DE"/>
              </w:rPr>
            </w:pPr>
            <w:r w:rsidRPr="00111C16">
              <w:rPr>
                <w:rFonts w:eastAsia="Times New Roman" w:cs="Arial"/>
                <w:color w:val="auto"/>
                <w:spacing w:val="1"/>
                <w:sz w:val="22"/>
                <w:szCs w:val="22"/>
                <w:lang w:val="en-US" w:eastAsia="de-DE"/>
              </w:rPr>
              <w:t>920</w:t>
            </w:r>
          </w:p>
        </w:tc>
      </w:tr>
    </w:tbl>
    <w:p w14:paraId="6CF517F9" w14:textId="77777777" w:rsidR="00D029D0" w:rsidRDefault="00D029D0" w:rsidP="007365BE">
      <w:pPr>
        <w:spacing w:after="120" w:line="200" w:lineRule="atLeast"/>
        <w:ind w:right="2268"/>
        <w:rPr>
          <w:lang w:val="en-US"/>
        </w:rPr>
      </w:pPr>
    </w:p>
    <w:p w14:paraId="45466559" w14:textId="16379252" w:rsidR="001B3596" w:rsidRPr="00111C16" w:rsidRDefault="008B0BE3" w:rsidP="007365BE">
      <w:pPr>
        <w:spacing w:after="120" w:line="200" w:lineRule="atLeast"/>
        <w:ind w:right="2268"/>
        <w:rPr>
          <w:lang w:val="en-US"/>
        </w:rPr>
      </w:pPr>
      <w:r w:rsidRPr="00D029D0">
        <w:rPr>
          <w:vertAlign w:val="superscript"/>
          <w:lang w:val="en-US"/>
        </w:rPr>
        <w:t>1</w:t>
      </w:r>
      <w:r w:rsidRPr="00111C16">
        <w:rPr>
          <w:lang w:val="en-US"/>
        </w:rPr>
        <w:t xml:space="preserve"> </w:t>
      </w:r>
      <w:r w:rsidR="00F40249">
        <w:rPr>
          <w:lang w:val="en-US"/>
        </w:rPr>
        <w:t>Reporting</w:t>
      </w:r>
      <w:r w:rsidR="002C3488">
        <w:rPr>
          <w:lang w:val="en-US"/>
        </w:rPr>
        <w:t xml:space="preserve"> date: December 31, 2020 or June 30, 2021</w:t>
      </w:r>
    </w:p>
    <w:p w14:paraId="38AADF13" w14:textId="77777777" w:rsidR="00630FE1" w:rsidRPr="00111C16" w:rsidRDefault="00630FE1" w:rsidP="000E358D">
      <w:pPr>
        <w:spacing w:after="120" w:line="320" w:lineRule="atLeast"/>
        <w:ind w:right="2268"/>
        <w:rPr>
          <w:sz w:val="22"/>
          <w:szCs w:val="22"/>
          <w:lang w:val="en-US"/>
        </w:rPr>
      </w:pPr>
    </w:p>
    <w:p w14:paraId="0E3CAA48" w14:textId="378648B4" w:rsidR="001D3520" w:rsidRPr="00111C16" w:rsidRDefault="00302741" w:rsidP="000E358D">
      <w:pPr>
        <w:spacing w:after="120" w:line="320" w:lineRule="atLeast"/>
        <w:ind w:right="2268"/>
        <w:rPr>
          <w:sz w:val="22"/>
          <w:szCs w:val="22"/>
          <w:lang w:val="en-US"/>
        </w:rPr>
      </w:pPr>
      <w:r>
        <w:rPr>
          <w:sz w:val="22"/>
          <w:szCs w:val="22"/>
          <w:lang w:val="en-US"/>
        </w:rPr>
        <w:t>Note</w:t>
      </w:r>
      <w:r w:rsidR="00FD2B18">
        <w:rPr>
          <w:sz w:val="22"/>
          <w:szCs w:val="22"/>
          <w:lang w:val="en-US"/>
        </w:rPr>
        <w:t xml:space="preserve"> for</w:t>
      </w:r>
      <w:r>
        <w:rPr>
          <w:sz w:val="22"/>
          <w:szCs w:val="22"/>
          <w:lang w:val="en-US"/>
        </w:rPr>
        <w:t xml:space="preserve"> journalists</w:t>
      </w:r>
      <w:r w:rsidR="001D3520" w:rsidRPr="00111C16">
        <w:rPr>
          <w:sz w:val="22"/>
          <w:szCs w:val="22"/>
          <w:lang w:val="en-US"/>
        </w:rPr>
        <w:t>:</w:t>
      </w:r>
      <w:r>
        <w:rPr>
          <w:sz w:val="22"/>
          <w:szCs w:val="22"/>
          <w:lang w:val="en-US"/>
        </w:rPr>
        <w:t xml:space="preserve"> you will find audio statement</w:t>
      </w:r>
      <w:r w:rsidR="00395D9F">
        <w:rPr>
          <w:sz w:val="22"/>
          <w:szCs w:val="22"/>
          <w:lang w:val="en-US"/>
        </w:rPr>
        <w:t>s</w:t>
      </w:r>
      <w:r>
        <w:rPr>
          <w:sz w:val="22"/>
          <w:szCs w:val="22"/>
          <w:lang w:val="en-US"/>
        </w:rPr>
        <w:t xml:space="preserve"> related to this press release at h</w:t>
      </w:r>
      <w:r w:rsidR="001D3520" w:rsidRPr="00111C16">
        <w:rPr>
          <w:sz w:val="22"/>
          <w:szCs w:val="22"/>
          <w:lang w:val="en-US"/>
        </w:rPr>
        <w:t xml:space="preserve">ttps://www.mahle.com/de/news-and-press/press-releases/. </w:t>
      </w:r>
    </w:p>
    <w:p w14:paraId="485D3F7B" w14:textId="77777777" w:rsidR="0034413F" w:rsidRPr="00111C16" w:rsidRDefault="0034413F" w:rsidP="0034413F">
      <w:pPr>
        <w:spacing w:after="120" w:line="320" w:lineRule="atLeast"/>
        <w:ind w:right="2268"/>
        <w:rPr>
          <w:rFonts w:cs="Arial"/>
          <w:color w:val="292929"/>
          <w:sz w:val="22"/>
          <w:szCs w:val="22"/>
          <w:shd w:val="clear" w:color="auto" w:fill="FFFFFF"/>
          <w:lang w:val="en-US"/>
        </w:rPr>
      </w:pPr>
    </w:p>
    <w:p w14:paraId="3C593BC8" w14:textId="77777777" w:rsidR="000255C1" w:rsidRPr="00111C16" w:rsidRDefault="000255C1">
      <w:pPr>
        <w:spacing w:after="0"/>
        <w:rPr>
          <w:rFonts w:cs="Arial"/>
          <w:color w:val="292929"/>
          <w:sz w:val="22"/>
          <w:szCs w:val="22"/>
          <w:shd w:val="clear" w:color="auto" w:fill="FFFFFF"/>
          <w:lang w:val="en-US"/>
        </w:rPr>
      </w:pPr>
      <w:r w:rsidRPr="00111C16">
        <w:rPr>
          <w:rFonts w:cs="Arial"/>
          <w:color w:val="292929"/>
          <w:sz w:val="22"/>
          <w:szCs w:val="22"/>
          <w:shd w:val="clear" w:color="auto" w:fill="FFFFFF"/>
          <w:lang w:val="en-US"/>
        </w:rPr>
        <w:br w:type="page"/>
      </w:r>
    </w:p>
    <w:p w14:paraId="4657494A" w14:textId="77777777" w:rsidR="0034413F" w:rsidRPr="00111C16" w:rsidRDefault="0034413F" w:rsidP="0034413F">
      <w:pPr>
        <w:spacing w:after="120" w:line="320" w:lineRule="atLeast"/>
        <w:ind w:right="2268"/>
        <w:rPr>
          <w:rFonts w:cs="Arial"/>
          <w:color w:val="292929"/>
          <w:sz w:val="22"/>
          <w:szCs w:val="22"/>
          <w:shd w:val="clear" w:color="auto" w:fill="FFFFFF"/>
          <w:lang w:val="en-US"/>
        </w:rPr>
      </w:pPr>
      <w:r w:rsidRPr="00111C16">
        <w:rPr>
          <w:rFonts w:cs="Arial"/>
          <w:color w:val="292929"/>
          <w:sz w:val="22"/>
          <w:szCs w:val="22"/>
          <w:shd w:val="clear" w:color="auto" w:fill="FFFFFF"/>
          <w:lang w:val="en-US"/>
        </w:rPr>
        <w:lastRenderedPageBreak/>
        <w:t>Copyright: MAHLE GmbH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471"/>
        <w:gridCol w:w="3471"/>
      </w:tblGrid>
      <w:tr w:rsidR="0034413F" w:rsidRPr="00111C16" w14:paraId="31A25EC2" w14:textId="77777777" w:rsidTr="0034413F">
        <w:tc>
          <w:tcPr>
            <w:tcW w:w="3400" w:type="dxa"/>
          </w:tcPr>
          <w:p w14:paraId="1DA3695C" w14:textId="77777777" w:rsidR="0034413F" w:rsidRPr="00111C16" w:rsidRDefault="0034413F" w:rsidP="001C1B19">
            <w:pPr>
              <w:spacing w:after="120" w:line="320" w:lineRule="atLeast"/>
              <w:ind w:right="2268"/>
              <w:rPr>
                <w:rFonts w:eastAsia="Calibri" w:cs="Arial"/>
                <w:bCs/>
                <w:color w:val="auto"/>
                <w:sz w:val="22"/>
                <w:szCs w:val="22"/>
                <w:lang w:val="en-US"/>
              </w:rPr>
            </w:pPr>
            <w:r w:rsidRPr="00111C16">
              <w:rPr>
                <w:rFonts w:eastAsia="Calibri" w:cs="Arial"/>
                <w:bCs/>
                <w:noProof/>
                <w:color w:val="auto"/>
                <w:sz w:val="22"/>
                <w:szCs w:val="22"/>
                <w:lang w:eastAsia="de-DE"/>
              </w:rPr>
              <w:drawing>
                <wp:inline distT="0" distB="0" distL="0" distR="0" wp14:anchorId="606CB0CB" wp14:editId="44C758E0">
                  <wp:extent cx="1800000" cy="1272958"/>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screen">
                            <a:extLst>
                              <a:ext uri="{28A0092B-C50C-407E-A947-70E740481C1C}">
                                <a14:useLocalDpi xmlns:a14="http://schemas.microsoft.com/office/drawing/2010/main"/>
                              </a:ext>
                            </a:extLst>
                          </a:blip>
                          <a:stretch>
                            <a:fillRect/>
                          </a:stretch>
                        </pic:blipFill>
                        <pic:spPr>
                          <a:xfrm>
                            <a:off x="0" y="0"/>
                            <a:ext cx="1800000" cy="1272958"/>
                          </a:xfrm>
                          <a:prstGeom prst="rect">
                            <a:avLst/>
                          </a:prstGeom>
                        </pic:spPr>
                      </pic:pic>
                    </a:graphicData>
                  </a:graphic>
                </wp:inline>
              </w:drawing>
            </w:r>
          </w:p>
        </w:tc>
        <w:tc>
          <w:tcPr>
            <w:tcW w:w="3399" w:type="dxa"/>
          </w:tcPr>
          <w:p w14:paraId="210DC138" w14:textId="77777777" w:rsidR="0034413F" w:rsidRPr="00111C16" w:rsidRDefault="0034413F" w:rsidP="001C1B19">
            <w:pPr>
              <w:spacing w:after="120" w:line="320" w:lineRule="atLeast"/>
              <w:ind w:right="2268"/>
              <w:rPr>
                <w:rFonts w:eastAsia="Calibri" w:cs="Arial"/>
                <w:bCs/>
                <w:color w:val="auto"/>
                <w:sz w:val="22"/>
                <w:szCs w:val="22"/>
                <w:lang w:val="en-US"/>
              </w:rPr>
            </w:pPr>
            <w:r w:rsidRPr="00111C16">
              <w:rPr>
                <w:rFonts w:eastAsia="Calibri" w:cs="Arial"/>
                <w:bCs/>
                <w:noProof/>
                <w:color w:val="auto"/>
                <w:sz w:val="22"/>
                <w:szCs w:val="22"/>
                <w:lang w:eastAsia="de-DE"/>
              </w:rPr>
              <w:drawing>
                <wp:inline distT="0" distB="0" distL="0" distR="0" wp14:anchorId="2EA97041" wp14:editId="35443027">
                  <wp:extent cx="1365250" cy="1365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screen">
                            <a:extLst>
                              <a:ext uri="{28A0092B-C50C-407E-A947-70E740481C1C}">
                                <a14:useLocalDpi xmlns:a14="http://schemas.microsoft.com/office/drawing/2010/main"/>
                              </a:ext>
                            </a:extLst>
                          </a:blip>
                          <a:stretch>
                            <a:fillRect/>
                          </a:stretch>
                        </pic:blipFill>
                        <pic:spPr>
                          <a:xfrm>
                            <a:off x="0" y="0"/>
                            <a:ext cx="1365562" cy="1365562"/>
                          </a:xfrm>
                          <a:prstGeom prst="rect">
                            <a:avLst/>
                          </a:prstGeom>
                        </pic:spPr>
                      </pic:pic>
                    </a:graphicData>
                  </a:graphic>
                </wp:inline>
              </w:drawing>
            </w:r>
          </w:p>
        </w:tc>
        <w:tc>
          <w:tcPr>
            <w:tcW w:w="3399" w:type="dxa"/>
          </w:tcPr>
          <w:p w14:paraId="27BA502C" w14:textId="77777777" w:rsidR="0034413F" w:rsidRPr="00111C16" w:rsidRDefault="0034413F" w:rsidP="001C1B19">
            <w:pPr>
              <w:spacing w:after="120" w:line="320" w:lineRule="atLeast"/>
              <w:ind w:right="2268"/>
              <w:rPr>
                <w:rFonts w:eastAsia="Calibri" w:cs="Arial"/>
                <w:bCs/>
                <w:color w:val="auto"/>
                <w:sz w:val="22"/>
                <w:szCs w:val="22"/>
                <w:lang w:val="en-US"/>
              </w:rPr>
            </w:pPr>
            <w:r w:rsidRPr="00111C16">
              <w:rPr>
                <w:rFonts w:eastAsia="Calibri" w:cs="Arial"/>
                <w:bCs/>
                <w:noProof/>
                <w:color w:val="auto"/>
                <w:sz w:val="22"/>
                <w:szCs w:val="22"/>
                <w:lang w:eastAsia="de-DE"/>
              </w:rPr>
              <w:drawing>
                <wp:inline distT="0" distB="0" distL="0" distR="0" wp14:anchorId="13F80709" wp14:editId="2D32A6F5">
                  <wp:extent cx="1800000" cy="10120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screen">
                            <a:extLst>
                              <a:ext uri="{28A0092B-C50C-407E-A947-70E740481C1C}">
                                <a14:useLocalDpi xmlns:a14="http://schemas.microsoft.com/office/drawing/2010/main"/>
                              </a:ext>
                            </a:extLst>
                          </a:blip>
                          <a:stretch>
                            <a:fillRect/>
                          </a:stretch>
                        </pic:blipFill>
                        <pic:spPr>
                          <a:xfrm>
                            <a:off x="0" y="0"/>
                            <a:ext cx="1800000" cy="1012081"/>
                          </a:xfrm>
                          <a:prstGeom prst="rect">
                            <a:avLst/>
                          </a:prstGeom>
                        </pic:spPr>
                      </pic:pic>
                    </a:graphicData>
                  </a:graphic>
                </wp:inline>
              </w:drawing>
            </w:r>
          </w:p>
        </w:tc>
      </w:tr>
      <w:tr w:rsidR="0034413F" w:rsidRPr="00E66DA8" w14:paraId="22DCDD91" w14:textId="77777777" w:rsidTr="0034413F">
        <w:tc>
          <w:tcPr>
            <w:tcW w:w="3400" w:type="dxa"/>
          </w:tcPr>
          <w:p w14:paraId="3D1A09D9" w14:textId="77777777" w:rsidR="0034413F" w:rsidRPr="00111C16" w:rsidRDefault="00BB1CF2" w:rsidP="00BB1CF2">
            <w:pPr>
              <w:rPr>
                <w:sz w:val="16"/>
                <w:szCs w:val="16"/>
                <w:lang w:val="en-US"/>
              </w:rPr>
            </w:pPr>
            <w:r>
              <w:rPr>
                <w:sz w:val="16"/>
                <w:szCs w:val="16"/>
                <w:lang w:val="en-US"/>
              </w:rPr>
              <w:t xml:space="preserve">Ideal temperature and homogeneous distribution. With the </w:t>
            </w:r>
            <w:r w:rsidR="0034413F" w:rsidRPr="00111C16">
              <w:rPr>
                <w:sz w:val="16"/>
                <w:szCs w:val="16"/>
                <w:lang w:val="en-US"/>
              </w:rPr>
              <w:t>MAHLE</w:t>
            </w:r>
            <w:r>
              <w:rPr>
                <w:sz w:val="16"/>
                <w:szCs w:val="16"/>
                <w:lang w:val="en-US"/>
              </w:rPr>
              <w:t xml:space="preserve"> immersion cooling system, charging times can be shortened and battery size reduced. </w:t>
            </w:r>
          </w:p>
          <w:p w14:paraId="2AF8ADB7" w14:textId="77777777" w:rsidR="0034413F" w:rsidRPr="00111C16" w:rsidRDefault="0034413F" w:rsidP="001C1B19">
            <w:pPr>
              <w:spacing w:after="120" w:line="320" w:lineRule="atLeast"/>
              <w:ind w:right="2268"/>
              <w:rPr>
                <w:rFonts w:eastAsia="Calibri" w:cs="Arial"/>
                <w:bCs/>
                <w:color w:val="auto"/>
                <w:sz w:val="22"/>
                <w:szCs w:val="22"/>
                <w:lang w:val="en-US"/>
              </w:rPr>
            </w:pPr>
          </w:p>
        </w:tc>
        <w:tc>
          <w:tcPr>
            <w:tcW w:w="3399" w:type="dxa"/>
          </w:tcPr>
          <w:p w14:paraId="212CFDD4" w14:textId="77777777" w:rsidR="0034413F" w:rsidRPr="00111C16" w:rsidRDefault="00BB1CF2" w:rsidP="00F40249">
            <w:pPr>
              <w:rPr>
                <w:rFonts w:eastAsia="Calibri" w:cs="Arial"/>
                <w:bCs/>
                <w:color w:val="auto"/>
                <w:sz w:val="16"/>
                <w:szCs w:val="16"/>
                <w:lang w:val="en-US"/>
              </w:rPr>
            </w:pPr>
            <w:r>
              <w:rPr>
                <w:rFonts w:eastAsia="Calibri" w:cs="Arial"/>
                <w:bCs/>
                <w:color w:val="auto"/>
                <w:sz w:val="16"/>
                <w:szCs w:val="16"/>
                <w:lang w:val="en-US"/>
              </w:rPr>
              <w:t>Immersion cooling significantly reduces charging times for electric car batteries. To charge batteries fast, he</w:t>
            </w:r>
            <w:r w:rsidR="00FD2B18">
              <w:rPr>
                <w:rFonts w:eastAsia="Calibri" w:cs="Arial"/>
                <w:bCs/>
                <w:color w:val="auto"/>
                <w:sz w:val="16"/>
                <w:szCs w:val="16"/>
                <w:lang w:val="en-US"/>
              </w:rPr>
              <w:t>at</w:t>
            </w:r>
            <w:r>
              <w:rPr>
                <w:rFonts w:eastAsia="Calibri" w:cs="Arial"/>
                <w:bCs/>
                <w:color w:val="auto"/>
                <w:sz w:val="16"/>
                <w:szCs w:val="16"/>
                <w:lang w:val="en-US"/>
              </w:rPr>
              <w:t xml:space="preserve"> must be evenly distributed inside the battery cell and the temperature must not rise too high</w:t>
            </w:r>
            <w:r w:rsidR="0034413F" w:rsidRPr="00111C16">
              <w:rPr>
                <w:rFonts w:eastAsia="Calibri" w:cs="Arial"/>
                <w:bCs/>
                <w:color w:val="auto"/>
                <w:sz w:val="16"/>
                <w:szCs w:val="16"/>
                <w:lang w:val="en-US"/>
              </w:rPr>
              <w:t>.</w:t>
            </w:r>
          </w:p>
        </w:tc>
        <w:tc>
          <w:tcPr>
            <w:tcW w:w="3399" w:type="dxa"/>
          </w:tcPr>
          <w:p w14:paraId="56127845" w14:textId="77777777" w:rsidR="0034413F" w:rsidRPr="00111C16" w:rsidRDefault="00981CCC" w:rsidP="0034413F">
            <w:pPr>
              <w:rPr>
                <w:sz w:val="16"/>
                <w:szCs w:val="16"/>
                <w:lang w:val="en-US"/>
              </w:rPr>
            </w:pPr>
            <w:r>
              <w:rPr>
                <w:sz w:val="16"/>
                <w:szCs w:val="16"/>
                <w:lang w:val="en-US"/>
              </w:rPr>
              <w:t xml:space="preserve">The new </w:t>
            </w:r>
            <w:r w:rsidRPr="00111C16">
              <w:rPr>
                <w:sz w:val="16"/>
                <w:szCs w:val="16"/>
                <w:lang w:val="en-US"/>
              </w:rPr>
              <w:t>MAHLE</w:t>
            </w:r>
            <w:r>
              <w:rPr>
                <w:sz w:val="16"/>
                <w:szCs w:val="16"/>
                <w:lang w:val="en-US"/>
              </w:rPr>
              <w:t xml:space="preserve"> traction motor is wear-free, compact and does not require rare earth minerals. </w:t>
            </w:r>
            <w:r w:rsidR="00BB1CF2">
              <w:rPr>
                <w:sz w:val="16"/>
                <w:szCs w:val="16"/>
                <w:lang w:val="en-US"/>
              </w:rPr>
              <w:t>The innovation leap is tremendous – comparable with the shift from intake pipe to direct gasoline injection.</w:t>
            </w:r>
          </w:p>
          <w:p w14:paraId="1D9CC922" w14:textId="77777777" w:rsidR="0034413F" w:rsidRPr="00111C16" w:rsidRDefault="0034413F" w:rsidP="001C1B19">
            <w:pPr>
              <w:spacing w:after="120" w:line="320" w:lineRule="atLeast"/>
              <w:ind w:right="2268"/>
              <w:rPr>
                <w:rFonts w:eastAsia="Calibri" w:cs="Arial"/>
                <w:bCs/>
                <w:color w:val="auto"/>
                <w:szCs w:val="18"/>
                <w:lang w:val="en-US"/>
              </w:rPr>
            </w:pPr>
          </w:p>
        </w:tc>
      </w:tr>
      <w:tr w:rsidR="0034413F" w:rsidRPr="00111C16" w14:paraId="26FB4735" w14:textId="77777777" w:rsidTr="0034413F">
        <w:tc>
          <w:tcPr>
            <w:tcW w:w="3400" w:type="dxa"/>
          </w:tcPr>
          <w:p w14:paraId="0E2CD0B5" w14:textId="77777777" w:rsidR="0034413F" w:rsidRPr="00111C16" w:rsidRDefault="0034413F" w:rsidP="001C1B19">
            <w:pPr>
              <w:spacing w:after="120" w:line="320" w:lineRule="atLeast"/>
              <w:ind w:right="2268"/>
              <w:rPr>
                <w:rFonts w:eastAsia="Calibri" w:cs="Arial"/>
                <w:bCs/>
                <w:color w:val="auto"/>
                <w:sz w:val="22"/>
                <w:szCs w:val="22"/>
                <w:lang w:val="en-US"/>
              </w:rPr>
            </w:pPr>
            <w:r w:rsidRPr="00111C16">
              <w:rPr>
                <w:rFonts w:eastAsia="Calibri" w:cs="Arial"/>
                <w:bCs/>
                <w:noProof/>
                <w:color w:val="auto"/>
                <w:sz w:val="22"/>
                <w:szCs w:val="22"/>
                <w:lang w:eastAsia="de-DE"/>
              </w:rPr>
              <w:drawing>
                <wp:inline distT="0" distB="0" distL="0" distR="0" wp14:anchorId="0B3BD1CF" wp14:editId="10ECACA6">
                  <wp:extent cx="1202400"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screen">
                            <a:extLst>
                              <a:ext uri="{28A0092B-C50C-407E-A947-70E740481C1C}">
                                <a14:useLocalDpi xmlns:a14="http://schemas.microsoft.com/office/drawing/2010/main"/>
                              </a:ext>
                            </a:extLst>
                          </a:blip>
                          <a:stretch>
                            <a:fillRect/>
                          </a:stretch>
                        </pic:blipFill>
                        <pic:spPr>
                          <a:xfrm>
                            <a:off x="0" y="0"/>
                            <a:ext cx="1202400" cy="1800000"/>
                          </a:xfrm>
                          <a:prstGeom prst="rect">
                            <a:avLst/>
                          </a:prstGeom>
                        </pic:spPr>
                      </pic:pic>
                    </a:graphicData>
                  </a:graphic>
                </wp:inline>
              </w:drawing>
            </w:r>
          </w:p>
        </w:tc>
        <w:tc>
          <w:tcPr>
            <w:tcW w:w="3399" w:type="dxa"/>
          </w:tcPr>
          <w:p w14:paraId="684F58BD" w14:textId="77777777" w:rsidR="0034413F" w:rsidRPr="00111C16" w:rsidRDefault="0034413F" w:rsidP="001C1B19">
            <w:pPr>
              <w:spacing w:after="120" w:line="320" w:lineRule="atLeast"/>
              <w:ind w:right="2268"/>
              <w:rPr>
                <w:rFonts w:eastAsia="Calibri" w:cs="Arial"/>
                <w:bCs/>
                <w:color w:val="auto"/>
                <w:sz w:val="22"/>
                <w:szCs w:val="22"/>
                <w:lang w:val="en-US"/>
              </w:rPr>
            </w:pPr>
            <w:r w:rsidRPr="00111C16">
              <w:rPr>
                <w:rFonts w:eastAsia="Calibri" w:cs="Arial"/>
                <w:bCs/>
                <w:noProof/>
                <w:color w:val="auto"/>
                <w:sz w:val="22"/>
                <w:szCs w:val="22"/>
                <w:lang w:eastAsia="de-DE"/>
              </w:rPr>
              <w:drawing>
                <wp:inline distT="0" distB="0" distL="0" distR="0" wp14:anchorId="62A8037E" wp14:editId="629AD289">
                  <wp:extent cx="1800000" cy="12002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cstate="screen">
                            <a:extLst>
                              <a:ext uri="{28A0092B-C50C-407E-A947-70E740481C1C}">
                                <a14:useLocalDpi xmlns:a14="http://schemas.microsoft.com/office/drawing/2010/main"/>
                              </a:ext>
                            </a:extLst>
                          </a:blip>
                          <a:stretch>
                            <a:fillRect/>
                          </a:stretch>
                        </pic:blipFill>
                        <pic:spPr>
                          <a:xfrm>
                            <a:off x="0" y="0"/>
                            <a:ext cx="1800000" cy="1200235"/>
                          </a:xfrm>
                          <a:prstGeom prst="rect">
                            <a:avLst/>
                          </a:prstGeom>
                        </pic:spPr>
                      </pic:pic>
                    </a:graphicData>
                  </a:graphic>
                </wp:inline>
              </w:drawing>
            </w:r>
          </w:p>
          <w:p w14:paraId="470C3236" w14:textId="77777777" w:rsidR="00A601F9" w:rsidRPr="00111C16" w:rsidRDefault="00A601F9" w:rsidP="001C1B19">
            <w:pPr>
              <w:spacing w:after="120" w:line="320" w:lineRule="atLeast"/>
              <w:ind w:right="2268"/>
              <w:rPr>
                <w:rFonts w:eastAsia="Calibri" w:cs="Arial"/>
                <w:bCs/>
                <w:color w:val="auto"/>
                <w:sz w:val="22"/>
                <w:szCs w:val="22"/>
                <w:lang w:val="en-US"/>
              </w:rPr>
            </w:pPr>
          </w:p>
          <w:p w14:paraId="39EF1C82" w14:textId="77777777" w:rsidR="00A601F9" w:rsidRPr="00111C16" w:rsidRDefault="00A601F9" w:rsidP="001C1B19">
            <w:pPr>
              <w:spacing w:after="120" w:line="320" w:lineRule="atLeast"/>
              <w:ind w:right="2268"/>
              <w:rPr>
                <w:rFonts w:eastAsia="Calibri" w:cs="Arial"/>
                <w:bCs/>
                <w:color w:val="auto"/>
                <w:sz w:val="22"/>
                <w:szCs w:val="22"/>
                <w:lang w:val="en-US"/>
              </w:rPr>
            </w:pPr>
          </w:p>
        </w:tc>
        <w:tc>
          <w:tcPr>
            <w:tcW w:w="3399" w:type="dxa"/>
          </w:tcPr>
          <w:p w14:paraId="2525675E" w14:textId="77777777" w:rsidR="0034413F" w:rsidRPr="00111C16" w:rsidRDefault="009B7F87" w:rsidP="001C1B19">
            <w:pPr>
              <w:spacing w:after="120" w:line="320" w:lineRule="atLeast"/>
              <w:ind w:right="2268"/>
              <w:rPr>
                <w:rFonts w:eastAsia="Calibri" w:cs="Arial"/>
                <w:bCs/>
                <w:color w:val="auto"/>
                <w:sz w:val="22"/>
                <w:szCs w:val="22"/>
                <w:lang w:val="en-US"/>
              </w:rPr>
            </w:pPr>
            <w:r w:rsidRPr="00111C16">
              <w:rPr>
                <w:rFonts w:eastAsia="Calibri" w:cs="Arial"/>
                <w:bCs/>
                <w:noProof/>
                <w:color w:val="auto"/>
                <w:sz w:val="22"/>
                <w:szCs w:val="22"/>
                <w:lang w:eastAsia="de-DE"/>
              </w:rPr>
              <w:drawing>
                <wp:inline distT="0" distB="0" distL="0" distR="0" wp14:anchorId="688BC2D6" wp14:editId="54BE6940">
                  <wp:extent cx="1776730" cy="118454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4243" cy="1189554"/>
                          </a:xfrm>
                          <a:prstGeom prst="rect">
                            <a:avLst/>
                          </a:prstGeom>
                        </pic:spPr>
                      </pic:pic>
                    </a:graphicData>
                  </a:graphic>
                </wp:inline>
              </w:drawing>
            </w:r>
          </w:p>
        </w:tc>
      </w:tr>
      <w:tr w:rsidR="0034413F" w:rsidRPr="00E66DA8" w14:paraId="273ECD81" w14:textId="77777777" w:rsidTr="0034413F">
        <w:tc>
          <w:tcPr>
            <w:tcW w:w="3400" w:type="dxa"/>
          </w:tcPr>
          <w:p w14:paraId="10E78FBA" w14:textId="77777777" w:rsidR="009B7F87" w:rsidRPr="00111C16" w:rsidRDefault="00BB1CF2" w:rsidP="0034413F">
            <w:pPr>
              <w:rPr>
                <w:sz w:val="16"/>
                <w:szCs w:val="16"/>
                <w:lang w:val="en-US"/>
              </w:rPr>
            </w:pPr>
            <w:r>
              <w:rPr>
                <w:sz w:val="16"/>
                <w:szCs w:val="16"/>
                <w:lang w:val="en-US"/>
              </w:rPr>
              <w:t xml:space="preserve">The new magnet-free electric motor features high durability. Power transmission between the rotating </w:t>
            </w:r>
            <w:r w:rsidR="00FD2B18">
              <w:rPr>
                <w:sz w:val="16"/>
                <w:szCs w:val="16"/>
                <w:lang w:val="en-US"/>
              </w:rPr>
              <w:t>and</w:t>
            </w:r>
            <w:r>
              <w:rPr>
                <w:sz w:val="16"/>
                <w:szCs w:val="16"/>
                <w:lang w:val="en-US"/>
              </w:rPr>
              <w:t xml:space="preserve"> stationary components of the motor is completed without contacts and without wear. </w:t>
            </w:r>
          </w:p>
          <w:p w14:paraId="1E819363" w14:textId="77777777" w:rsidR="0034413F" w:rsidRPr="00111C16" w:rsidRDefault="0034413F" w:rsidP="0034413F">
            <w:pPr>
              <w:rPr>
                <w:sz w:val="16"/>
                <w:szCs w:val="16"/>
                <w:lang w:val="en-US"/>
              </w:rPr>
            </w:pPr>
            <w:r w:rsidRPr="00111C16">
              <w:rPr>
                <w:sz w:val="16"/>
                <w:szCs w:val="16"/>
                <w:lang w:val="en-US"/>
              </w:rPr>
              <w:t xml:space="preserve"> </w:t>
            </w:r>
          </w:p>
        </w:tc>
        <w:tc>
          <w:tcPr>
            <w:tcW w:w="3399" w:type="dxa"/>
          </w:tcPr>
          <w:p w14:paraId="6BFFF502" w14:textId="77777777" w:rsidR="0034413F" w:rsidRPr="00111C16" w:rsidRDefault="00746CAF" w:rsidP="00746CAF">
            <w:pPr>
              <w:spacing w:after="0"/>
              <w:ind w:right="-113"/>
              <w:rPr>
                <w:sz w:val="16"/>
                <w:szCs w:val="16"/>
                <w:lang w:val="en-US"/>
              </w:rPr>
            </w:pPr>
            <w:r w:rsidRPr="00111C16">
              <w:rPr>
                <w:sz w:val="16"/>
                <w:szCs w:val="16"/>
                <w:lang w:val="en-US"/>
              </w:rPr>
              <w:t>MAHLE</w:t>
            </w:r>
            <w:r w:rsidR="00BB1CF2">
              <w:rPr>
                <w:sz w:val="16"/>
                <w:szCs w:val="16"/>
                <w:lang w:val="en-US"/>
              </w:rPr>
              <w:t xml:space="preserve"> gives the bike its DNA back. Smart bike drive systems from </w:t>
            </w:r>
            <w:r w:rsidR="00A601F9" w:rsidRPr="00111C16">
              <w:rPr>
                <w:sz w:val="16"/>
                <w:szCs w:val="16"/>
                <w:lang w:val="en-US"/>
              </w:rPr>
              <w:t xml:space="preserve">MAHLE </w:t>
            </w:r>
            <w:r w:rsidR="00BB1CF2">
              <w:rPr>
                <w:sz w:val="16"/>
                <w:szCs w:val="16"/>
                <w:lang w:val="en-US"/>
              </w:rPr>
              <w:t>are inconspicuous and extremely light.</w:t>
            </w:r>
          </w:p>
          <w:p w14:paraId="556748D5" w14:textId="77777777" w:rsidR="00A601F9" w:rsidRPr="00111C16" w:rsidRDefault="00A601F9" w:rsidP="0034413F">
            <w:pPr>
              <w:spacing w:after="120" w:line="320" w:lineRule="atLeast"/>
              <w:ind w:right="-114"/>
              <w:rPr>
                <w:rFonts w:eastAsia="Calibri" w:cs="Arial"/>
                <w:bCs/>
                <w:color w:val="auto"/>
                <w:sz w:val="16"/>
                <w:szCs w:val="16"/>
                <w:lang w:val="en-US"/>
              </w:rPr>
            </w:pPr>
          </w:p>
          <w:p w14:paraId="7661FE00" w14:textId="77777777" w:rsidR="00A601F9" w:rsidRPr="00111C16" w:rsidRDefault="00A601F9" w:rsidP="0034413F">
            <w:pPr>
              <w:spacing w:after="120" w:line="320" w:lineRule="atLeast"/>
              <w:ind w:right="-114"/>
              <w:rPr>
                <w:rFonts w:eastAsia="Calibri" w:cs="Arial"/>
                <w:bCs/>
                <w:color w:val="auto"/>
                <w:sz w:val="16"/>
                <w:szCs w:val="16"/>
                <w:lang w:val="en-US"/>
              </w:rPr>
            </w:pPr>
          </w:p>
        </w:tc>
        <w:tc>
          <w:tcPr>
            <w:tcW w:w="3399" w:type="dxa"/>
          </w:tcPr>
          <w:p w14:paraId="285A320C" w14:textId="77777777" w:rsidR="0034413F" w:rsidRPr="00111C16" w:rsidRDefault="009B7F87" w:rsidP="00F40249">
            <w:pPr>
              <w:rPr>
                <w:rFonts w:eastAsia="Calibri" w:cs="Arial"/>
                <w:bCs/>
                <w:color w:val="auto"/>
                <w:sz w:val="16"/>
                <w:szCs w:val="16"/>
                <w:lang w:val="en-US"/>
              </w:rPr>
            </w:pPr>
            <w:r w:rsidRPr="00111C16">
              <w:rPr>
                <w:sz w:val="16"/>
                <w:szCs w:val="16"/>
                <w:lang w:val="en-US"/>
              </w:rPr>
              <w:t>chargeBIG,</w:t>
            </w:r>
            <w:r w:rsidR="00BB1CF2">
              <w:rPr>
                <w:sz w:val="16"/>
                <w:szCs w:val="16"/>
                <w:lang w:val="en-US"/>
              </w:rPr>
              <w:t xml:space="preserve"> the smart charging system from </w:t>
            </w:r>
            <w:r w:rsidRPr="00111C16">
              <w:rPr>
                <w:sz w:val="16"/>
                <w:szCs w:val="16"/>
                <w:lang w:val="en-US"/>
              </w:rPr>
              <w:t>MAHLE,</w:t>
            </w:r>
            <w:r w:rsidR="00BB1CF2">
              <w:rPr>
                <w:sz w:val="16"/>
                <w:szCs w:val="16"/>
                <w:lang w:val="en-US"/>
              </w:rPr>
              <w:t xml:space="preserve"> is the first system giving an indication </w:t>
            </w:r>
            <w:r w:rsidR="00F40249">
              <w:rPr>
                <w:sz w:val="16"/>
                <w:szCs w:val="16"/>
                <w:lang w:val="en-US"/>
              </w:rPr>
              <w:t xml:space="preserve">on a smart phone </w:t>
            </w:r>
            <w:r w:rsidR="00BB1CF2">
              <w:rPr>
                <w:sz w:val="16"/>
                <w:szCs w:val="16"/>
                <w:lang w:val="en-US"/>
              </w:rPr>
              <w:t xml:space="preserve">in accordance with German and weights and measures regulations. </w:t>
            </w:r>
            <w:r w:rsidR="00BB1CF2" w:rsidRPr="00111C16">
              <w:rPr>
                <w:sz w:val="16"/>
                <w:szCs w:val="16"/>
                <w:lang w:val="en-US"/>
              </w:rPr>
              <w:t>chargeBIG Power</w:t>
            </w:r>
            <w:r w:rsidR="00BB1CF2">
              <w:rPr>
                <w:sz w:val="16"/>
                <w:szCs w:val="16"/>
                <w:lang w:val="en-US"/>
              </w:rPr>
              <w:t xml:space="preserve"> fast charging stations with power figures up to 750 kW are now being added to the system. </w:t>
            </w:r>
          </w:p>
        </w:tc>
      </w:tr>
      <w:tr w:rsidR="0034413F" w:rsidRPr="00111C16" w14:paraId="69A2840C" w14:textId="77777777" w:rsidTr="0034413F">
        <w:tc>
          <w:tcPr>
            <w:tcW w:w="3400" w:type="dxa"/>
          </w:tcPr>
          <w:p w14:paraId="2F5E8ADB" w14:textId="77777777" w:rsidR="0034413F" w:rsidRPr="00111C16" w:rsidRDefault="0034413F" w:rsidP="001C1B19">
            <w:pPr>
              <w:spacing w:after="120" w:line="320" w:lineRule="atLeast"/>
              <w:ind w:right="2268"/>
              <w:rPr>
                <w:rFonts w:eastAsia="Calibri" w:cs="Arial"/>
                <w:bCs/>
                <w:color w:val="auto"/>
                <w:sz w:val="22"/>
                <w:szCs w:val="22"/>
                <w:lang w:val="en-US"/>
              </w:rPr>
            </w:pPr>
            <w:r w:rsidRPr="00111C16">
              <w:rPr>
                <w:rFonts w:eastAsia="Calibri" w:cs="Arial"/>
                <w:bCs/>
                <w:noProof/>
                <w:color w:val="auto"/>
                <w:sz w:val="22"/>
                <w:szCs w:val="22"/>
                <w:lang w:eastAsia="de-DE"/>
              </w:rPr>
              <w:drawing>
                <wp:inline distT="0" distB="0" distL="0" distR="0" wp14:anchorId="27D8B077" wp14:editId="3EF69481">
                  <wp:extent cx="1800000" cy="891351"/>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5" cstate="screen">
                            <a:extLst>
                              <a:ext uri="{28A0092B-C50C-407E-A947-70E740481C1C}">
                                <a14:useLocalDpi xmlns:a14="http://schemas.microsoft.com/office/drawing/2010/main"/>
                              </a:ext>
                            </a:extLst>
                          </a:blip>
                          <a:stretch>
                            <a:fillRect/>
                          </a:stretch>
                        </pic:blipFill>
                        <pic:spPr>
                          <a:xfrm>
                            <a:off x="0" y="0"/>
                            <a:ext cx="1800000" cy="891351"/>
                          </a:xfrm>
                          <a:prstGeom prst="rect">
                            <a:avLst/>
                          </a:prstGeom>
                        </pic:spPr>
                      </pic:pic>
                    </a:graphicData>
                  </a:graphic>
                </wp:inline>
              </w:drawing>
            </w:r>
          </w:p>
        </w:tc>
        <w:tc>
          <w:tcPr>
            <w:tcW w:w="3399" w:type="dxa"/>
          </w:tcPr>
          <w:p w14:paraId="5901C7DA" w14:textId="77777777" w:rsidR="0034413F" w:rsidRPr="00111C16" w:rsidRDefault="0034413F" w:rsidP="001C1B19">
            <w:pPr>
              <w:spacing w:after="120" w:line="320" w:lineRule="atLeast"/>
              <w:ind w:right="2268"/>
              <w:rPr>
                <w:rFonts w:eastAsia="Calibri" w:cs="Arial"/>
                <w:bCs/>
                <w:color w:val="auto"/>
                <w:sz w:val="22"/>
                <w:szCs w:val="22"/>
                <w:lang w:val="en-US"/>
              </w:rPr>
            </w:pPr>
            <w:r w:rsidRPr="00111C16">
              <w:rPr>
                <w:rFonts w:eastAsia="Calibri" w:cs="Arial"/>
                <w:bCs/>
                <w:noProof/>
                <w:color w:val="auto"/>
                <w:sz w:val="22"/>
                <w:szCs w:val="22"/>
                <w:lang w:eastAsia="de-DE"/>
              </w:rPr>
              <w:drawing>
                <wp:inline distT="0" distB="0" distL="0" distR="0" wp14:anchorId="14ABF973" wp14:editId="248D696D">
                  <wp:extent cx="1800000" cy="891351"/>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6" cstate="screen">
                            <a:extLst>
                              <a:ext uri="{28A0092B-C50C-407E-A947-70E740481C1C}">
                                <a14:useLocalDpi xmlns:a14="http://schemas.microsoft.com/office/drawing/2010/main"/>
                              </a:ext>
                            </a:extLst>
                          </a:blip>
                          <a:stretch>
                            <a:fillRect/>
                          </a:stretch>
                        </pic:blipFill>
                        <pic:spPr>
                          <a:xfrm>
                            <a:off x="0" y="0"/>
                            <a:ext cx="1800000" cy="891351"/>
                          </a:xfrm>
                          <a:prstGeom prst="rect">
                            <a:avLst/>
                          </a:prstGeom>
                        </pic:spPr>
                      </pic:pic>
                    </a:graphicData>
                  </a:graphic>
                </wp:inline>
              </w:drawing>
            </w:r>
          </w:p>
        </w:tc>
        <w:tc>
          <w:tcPr>
            <w:tcW w:w="3399" w:type="dxa"/>
          </w:tcPr>
          <w:p w14:paraId="345CDD4C" w14:textId="77777777" w:rsidR="0034413F" w:rsidRPr="00111C16" w:rsidRDefault="00316EBF" w:rsidP="000255C1">
            <w:pPr>
              <w:spacing w:after="120" w:line="320" w:lineRule="atLeast"/>
              <w:rPr>
                <w:rFonts w:eastAsia="Calibri" w:cs="Arial"/>
                <w:bCs/>
                <w:color w:val="auto"/>
                <w:sz w:val="22"/>
                <w:szCs w:val="22"/>
                <w:lang w:val="en-US"/>
              </w:rPr>
            </w:pPr>
            <w:r w:rsidRPr="00111C16">
              <w:rPr>
                <w:rFonts w:eastAsia="Calibri" w:cs="Arial"/>
                <w:bCs/>
                <w:noProof/>
                <w:color w:val="auto"/>
                <w:sz w:val="22"/>
                <w:szCs w:val="22"/>
                <w:lang w:eastAsia="de-DE"/>
              </w:rPr>
              <w:drawing>
                <wp:inline distT="0" distB="0" distL="0" distR="0" wp14:anchorId="60123A5C" wp14:editId="3655CB5E">
                  <wp:extent cx="1800000" cy="101243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7" cstate="screen">
                            <a:extLst>
                              <a:ext uri="{28A0092B-C50C-407E-A947-70E740481C1C}">
                                <a14:useLocalDpi xmlns:a14="http://schemas.microsoft.com/office/drawing/2010/main"/>
                              </a:ext>
                            </a:extLst>
                          </a:blip>
                          <a:stretch>
                            <a:fillRect/>
                          </a:stretch>
                        </pic:blipFill>
                        <pic:spPr>
                          <a:xfrm>
                            <a:off x="0" y="0"/>
                            <a:ext cx="1800000" cy="1012434"/>
                          </a:xfrm>
                          <a:prstGeom prst="rect">
                            <a:avLst/>
                          </a:prstGeom>
                        </pic:spPr>
                      </pic:pic>
                    </a:graphicData>
                  </a:graphic>
                </wp:inline>
              </w:drawing>
            </w:r>
          </w:p>
        </w:tc>
      </w:tr>
      <w:tr w:rsidR="0034413F" w:rsidRPr="00111C16" w14:paraId="25169489" w14:textId="77777777" w:rsidTr="0034413F">
        <w:tc>
          <w:tcPr>
            <w:tcW w:w="3400" w:type="dxa"/>
          </w:tcPr>
          <w:p w14:paraId="1AB0BF97" w14:textId="77777777" w:rsidR="0034413F" w:rsidRPr="00111C16" w:rsidRDefault="00BB1CF2" w:rsidP="0034413F">
            <w:pPr>
              <w:rPr>
                <w:sz w:val="16"/>
                <w:szCs w:val="16"/>
                <w:lang w:val="en-US"/>
              </w:rPr>
            </w:pPr>
            <w:r>
              <w:rPr>
                <w:sz w:val="16"/>
                <w:szCs w:val="16"/>
                <w:lang w:val="en-US"/>
              </w:rPr>
              <w:t>MA</w:t>
            </w:r>
            <w:r w:rsidR="00FD2B18">
              <w:rPr>
                <w:sz w:val="16"/>
                <w:szCs w:val="16"/>
                <w:lang w:val="en-US"/>
              </w:rPr>
              <w:t>HLE</w:t>
            </w:r>
            <w:r>
              <w:rPr>
                <w:sz w:val="16"/>
                <w:szCs w:val="16"/>
                <w:lang w:val="en-US"/>
              </w:rPr>
              <w:t xml:space="preserve"> is showcasing its wide range of products for </w:t>
            </w:r>
            <w:r w:rsidR="00FD2B18">
              <w:rPr>
                <w:sz w:val="16"/>
                <w:szCs w:val="16"/>
                <w:lang w:val="en-US"/>
              </w:rPr>
              <w:t xml:space="preserve">e-mobility at the </w:t>
            </w:r>
            <w:r w:rsidR="0034413F" w:rsidRPr="00111C16">
              <w:rPr>
                <w:sz w:val="16"/>
                <w:szCs w:val="16"/>
                <w:lang w:val="en-US"/>
              </w:rPr>
              <w:t xml:space="preserve">IAA Mobility in </w:t>
            </w:r>
            <w:r>
              <w:rPr>
                <w:sz w:val="16"/>
                <w:szCs w:val="16"/>
                <w:lang w:val="en-US"/>
              </w:rPr>
              <w:t>Munich</w:t>
            </w:r>
            <w:r w:rsidR="0034413F" w:rsidRPr="00111C16">
              <w:rPr>
                <w:sz w:val="16"/>
                <w:szCs w:val="16"/>
                <w:lang w:val="en-US"/>
              </w:rPr>
              <w:t xml:space="preserve">. </w:t>
            </w:r>
            <w:r>
              <w:rPr>
                <w:sz w:val="16"/>
                <w:szCs w:val="16"/>
                <w:lang w:val="en-US"/>
              </w:rPr>
              <w:t xml:space="preserve">Munich Exhibition Centre, Hall </w:t>
            </w:r>
            <w:r w:rsidR="0034413F" w:rsidRPr="00111C16">
              <w:rPr>
                <w:sz w:val="16"/>
                <w:szCs w:val="16"/>
                <w:lang w:val="en-US"/>
              </w:rPr>
              <w:t>B1,</w:t>
            </w:r>
            <w:r>
              <w:rPr>
                <w:sz w:val="16"/>
                <w:szCs w:val="16"/>
                <w:lang w:val="en-US"/>
              </w:rPr>
              <w:t xml:space="preserve"> Booth </w:t>
            </w:r>
            <w:r w:rsidR="0034413F" w:rsidRPr="00111C16">
              <w:rPr>
                <w:sz w:val="16"/>
                <w:szCs w:val="16"/>
                <w:lang w:val="en-US"/>
              </w:rPr>
              <w:t xml:space="preserve">C80 </w:t>
            </w:r>
            <w:r>
              <w:rPr>
                <w:sz w:val="16"/>
                <w:szCs w:val="16"/>
                <w:lang w:val="en-US"/>
              </w:rPr>
              <w:t>from September 6 to 12, 2021</w:t>
            </w:r>
            <w:r w:rsidR="0034413F" w:rsidRPr="00111C16">
              <w:rPr>
                <w:sz w:val="16"/>
                <w:szCs w:val="16"/>
                <w:lang w:val="en-US"/>
              </w:rPr>
              <w:t>.</w:t>
            </w:r>
          </w:p>
          <w:p w14:paraId="09B2C7AB" w14:textId="77777777" w:rsidR="0034413F" w:rsidRPr="00111C16" w:rsidRDefault="0034413F" w:rsidP="001C1B19">
            <w:pPr>
              <w:spacing w:after="120" w:line="320" w:lineRule="atLeast"/>
              <w:ind w:right="2268"/>
              <w:rPr>
                <w:rFonts w:eastAsia="Calibri" w:cs="Arial"/>
                <w:bCs/>
                <w:color w:val="auto"/>
                <w:sz w:val="22"/>
                <w:szCs w:val="22"/>
                <w:lang w:val="en-US"/>
              </w:rPr>
            </w:pPr>
          </w:p>
        </w:tc>
        <w:tc>
          <w:tcPr>
            <w:tcW w:w="3399" w:type="dxa"/>
          </w:tcPr>
          <w:p w14:paraId="2AA2AD5C" w14:textId="77777777" w:rsidR="0034413F" w:rsidRPr="00111C16" w:rsidRDefault="00BB1CF2" w:rsidP="00F40249">
            <w:pPr>
              <w:rPr>
                <w:rFonts w:eastAsia="Calibri" w:cs="Arial"/>
                <w:bCs/>
                <w:color w:val="auto"/>
                <w:sz w:val="16"/>
                <w:szCs w:val="16"/>
                <w:lang w:val="en-US"/>
              </w:rPr>
            </w:pPr>
            <w:r w:rsidRPr="00111C16">
              <w:rPr>
                <w:sz w:val="16"/>
                <w:szCs w:val="16"/>
                <w:lang w:val="en-US"/>
              </w:rPr>
              <w:t>MAHLE</w:t>
            </w:r>
            <w:r>
              <w:rPr>
                <w:sz w:val="16"/>
                <w:szCs w:val="16"/>
                <w:lang w:val="en-US"/>
              </w:rPr>
              <w:t xml:space="preserve"> is presenting the e</w:t>
            </w:r>
            <w:r w:rsidR="00FD2B18">
              <w:rPr>
                <w:sz w:val="16"/>
                <w:szCs w:val="16"/>
                <w:lang w:val="en-US"/>
              </w:rPr>
              <w:t>-mobility</w:t>
            </w:r>
            <w:r>
              <w:rPr>
                <w:sz w:val="16"/>
                <w:szCs w:val="16"/>
                <w:lang w:val="en-US"/>
              </w:rPr>
              <w:t xml:space="preserve"> of the future to the general public in the </w:t>
            </w:r>
            <w:r w:rsidR="0034413F" w:rsidRPr="00111C16">
              <w:rPr>
                <w:sz w:val="16"/>
                <w:szCs w:val="16"/>
                <w:lang w:val="en-US"/>
              </w:rPr>
              <w:t>IAA Open Space</w:t>
            </w:r>
            <w:r>
              <w:rPr>
                <w:sz w:val="16"/>
                <w:szCs w:val="16"/>
                <w:lang w:val="en-US"/>
              </w:rPr>
              <w:t xml:space="preserve"> </w:t>
            </w:r>
            <w:r w:rsidR="00F40249">
              <w:rPr>
                <w:sz w:val="16"/>
                <w:szCs w:val="16"/>
                <w:lang w:val="en-US"/>
              </w:rPr>
              <w:t>at</w:t>
            </w:r>
            <w:r>
              <w:rPr>
                <w:sz w:val="16"/>
                <w:szCs w:val="16"/>
                <w:lang w:val="en-US"/>
              </w:rPr>
              <w:t xml:space="preserve"> </w:t>
            </w:r>
            <w:r w:rsidR="0034413F" w:rsidRPr="00111C16">
              <w:rPr>
                <w:sz w:val="16"/>
                <w:szCs w:val="16"/>
                <w:lang w:val="en-US"/>
              </w:rPr>
              <w:t xml:space="preserve">Königsplatz </w:t>
            </w:r>
            <w:r>
              <w:rPr>
                <w:sz w:val="16"/>
                <w:szCs w:val="16"/>
                <w:lang w:val="en-US"/>
              </w:rPr>
              <w:t>in Munich city centre</w:t>
            </w:r>
            <w:r w:rsidR="0034413F" w:rsidRPr="00111C16">
              <w:rPr>
                <w:sz w:val="16"/>
                <w:szCs w:val="16"/>
                <w:lang w:val="en-US"/>
              </w:rPr>
              <w:t xml:space="preserve">. </w:t>
            </w:r>
          </w:p>
        </w:tc>
        <w:tc>
          <w:tcPr>
            <w:tcW w:w="3399" w:type="dxa"/>
          </w:tcPr>
          <w:p w14:paraId="3DE16BC7" w14:textId="77777777" w:rsidR="00316EBF" w:rsidRPr="00111C16" w:rsidRDefault="00BB1CF2" w:rsidP="00316EBF">
            <w:pPr>
              <w:rPr>
                <w:rFonts w:ascii="Calibri" w:hAnsi="Calibri" w:cs="Calibri"/>
                <w:color w:val="auto"/>
                <w:sz w:val="22"/>
                <w:lang w:val="en-US"/>
              </w:rPr>
            </w:pPr>
            <w:r>
              <w:rPr>
                <w:sz w:val="16"/>
                <w:szCs w:val="16"/>
                <w:lang w:val="en-US"/>
              </w:rPr>
              <w:t xml:space="preserve">MAHLE’s virtual show booth for the </w:t>
            </w:r>
            <w:r w:rsidR="000255C1" w:rsidRPr="00111C16">
              <w:rPr>
                <w:sz w:val="16"/>
                <w:szCs w:val="16"/>
                <w:lang w:val="en-US"/>
              </w:rPr>
              <w:t xml:space="preserve">IAA </w:t>
            </w:r>
            <w:r>
              <w:rPr>
                <w:sz w:val="16"/>
                <w:szCs w:val="16"/>
                <w:lang w:val="en-US"/>
              </w:rPr>
              <w:t>is already opening on September 3, 2021</w:t>
            </w:r>
            <w:r w:rsidR="00316EBF" w:rsidRPr="00111C16">
              <w:rPr>
                <w:sz w:val="16"/>
                <w:szCs w:val="16"/>
                <w:lang w:val="en-US"/>
              </w:rPr>
              <w:t xml:space="preserve">. </w:t>
            </w:r>
            <w:hyperlink r:id="rId18" w:history="1">
              <w:r w:rsidR="00316EBF" w:rsidRPr="00111C16">
                <w:rPr>
                  <w:rStyle w:val="Hyperlink"/>
                  <w:sz w:val="16"/>
                  <w:szCs w:val="16"/>
                  <w:lang w:val="en-US"/>
                </w:rPr>
                <w:t>https://experience.mahle.com/</w:t>
              </w:r>
            </w:hyperlink>
          </w:p>
          <w:p w14:paraId="0BF08478" w14:textId="77777777" w:rsidR="0034413F" w:rsidRPr="00111C16" w:rsidRDefault="0034413F" w:rsidP="000255C1">
            <w:pPr>
              <w:rPr>
                <w:rFonts w:eastAsia="Calibri" w:cs="Arial"/>
                <w:bCs/>
                <w:color w:val="auto"/>
                <w:sz w:val="16"/>
                <w:szCs w:val="16"/>
                <w:lang w:val="en-US"/>
              </w:rPr>
            </w:pPr>
          </w:p>
        </w:tc>
      </w:tr>
    </w:tbl>
    <w:p w14:paraId="6E4D144C" w14:textId="77777777" w:rsidR="0034413F" w:rsidRPr="00111C16" w:rsidRDefault="0034413F" w:rsidP="001C1B19">
      <w:pPr>
        <w:spacing w:after="120" w:line="320" w:lineRule="atLeast"/>
        <w:ind w:right="2268"/>
        <w:rPr>
          <w:rFonts w:eastAsia="Calibri" w:cs="Arial"/>
          <w:b/>
          <w:color w:val="auto"/>
          <w:sz w:val="22"/>
          <w:szCs w:val="22"/>
          <w:lang w:val="en-US"/>
        </w:rPr>
      </w:pPr>
    </w:p>
    <w:p w14:paraId="1E10A138" w14:textId="77777777" w:rsidR="0034413F" w:rsidRPr="00111C16" w:rsidRDefault="0034413F" w:rsidP="001C1B19">
      <w:pPr>
        <w:spacing w:after="120" w:line="320" w:lineRule="atLeast"/>
        <w:ind w:right="2268"/>
        <w:rPr>
          <w:rFonts w:eastAsia="Calibri" w:cs="Arial"/>
          <w:b/>
          <w:color w:val="auto"/>
          <w:sz w:val="22"/>
          <w:szCs w:val="22"/>
          <w:lang w:val="en-US"/>
        </w:rPr>
      </w:pPr>
    </w:p>
    <w:p w14:paraId="7F05B3B0" w14:textId="77777777" w:rsidR="0034413F" w:rsidRPr="00111C16" w:rsidRDefault="0034413F" w:rsidP="001C1B19">
      <w:pPr>
        <w:spacing w:after="120" w:line="320" w:lineRule="atLeast"/>
        <w:ind w:right="2268"/>
        <w:rPr>
          <w:rFonts w:eastAsia="Calibri" w:cs="Arial"/>
          <w:b/>
          <w:color w:val="auto"/>
          <w:sz w:val="22"/>
          <w:szCs w:val="22"/>
          <w:lang w:val="en-US"/>
        </w:rPr>
      </w:pPr>
    </w:p>
    <w:p w14:paraId="18CB58AE" w14:textId="77777777" w:rsidR="00BB1CF2" w:rsidRPr="002F6B14" w:rsidRDefault="00BB1CF2" w:rsidP="00BB1CF2">
      <w:pPr>
        <w:spacing w:after="120" w:line="320" w:lineRule="atLeast"/>
        <w:ind w:right="2268"/>
        <w:rPr>
          <w:rFonts w:eastAsia="Calibri" w:cs="Arial"/>
          <w:b/>
          <w:color w:val="auto"/>
          <w:sz w:val="22"/>
          <w:szCs w:val="22"/>
          <w:lang w:val="en-US"/>
        </w:rPr>
      </w:pPr>
      <w:r>
        <w:rPr>
          <w:rFonts w:eastAsia="Calibri" w:cs="Arial"/>
          <w:b/>
          <w:color w:val="auto"/>
          <w:sz w:val="22"/>
          <w:szCs w:val="22"/>
          <w:lang w:val="en-US"/>
        </w:rPr>
        <w:t xml:space="preserve">Contacts at </w:t>
      </w:r>
      <w:r w:rsidRPr="002F6B14">
        <w:rPr>
          <w:rFonts w:eastAsia="Calibri" w:cs="Arial"/>
          <w:b/>
          <w:color w:val="auto"/>
          <w:sz w:val="22"/>
          <w:szCs w:val="22"/>
          <w:lang w:val="en-US"/>
        </w:rPr>
        <w:t xml:space="preserve">MAHLE </w:t>
      </w:r>
      <w:r>
        <w:rPr>
          <w:rFonts w:eastAsia="Calibri" w:cs="Arial"/>
          <w:b/>
          <w:color w:val="auto"/>
          <w:sz w:val="22"/>
          <w:szCs w:val="22"/>
          <w:lang w:val="en-US"/>
        </w:rPr>
        <w:t>Communications</w:t>
      </w:r>
      <w:r w:rsidRPr="002F6B14">
        <w:rPr>
          <w:rFonts w:eastAsia="Calibri" w:cs="Arial"/>
          <w:b/>
          <w:color w:val="auto"/>
          <w:sz w:val="22"/>
          <w:szCs w:val="22"/>
          <w:lang w:val="en-US"/>
        </w:rPr>
        <w:t xml:space="preserve">: </w:t>
      </w:r>
    </w:p>
    <w:p w14:paraId="4C15DADC" w14:textId="03B5C9DB" w:rsidR="00342F0C" w:rsidRPr="00111C16" w:rsidRDefault="00342F0C" w:rsidP="00342F0C">
      <w:pPr>
        <w:spacing w:after="360" w:line="320" w:lineRule="atLeast"/>
        <w:ind w:right="2268"/>
        <w:rPr>
          <w:rFonts w:eastAsia="Calibri"/>
          <w:color w:val="auto"/>
          <w:sz w:val="22"/>
          <w:szCs w:val="22"/>
          <w:lang w:val="en-US"/>
        </w:rPr>
      </w:pPr>
      <w:r w:rsidRPr="00111C16">
        <w:rPr>
          <w:rFonts w:eastAsia="Calibri"/>
          <w:color w:val="auto"/>
          <w:sz w:val="22"/>
          <w:szCs w:val="22"/>
          <w:lang w:val="en-US"/>
        </w:rPr>
        <w:t>Manuela H</w:t>
      </w:r>
      <w:r w:rsidR="00E66DA8">
        <w:rPr>
          <w:rFonts w:eastAsia="Calibri"/>
          <w:color w:val="auto"/>
          <w:sz w:val="22"/>
          <w:szCs w:val="22"/>
          <w:lang w:val="en-US"/>
        </w:rPr>
        <w:t>oe</w:t>
      </w:r>
      <w:r w:rsidRPr="00111C16">
        <w:rPr>
          <w:rFonts w:eastAsia="Calibri"/>
          <w:color w:val="auto"/>
          <w:sz w:val="22"/>
          <w:szCs w:val="22"/>
          <w:lang w:val="en-US"/>
        </w:rPr>
        <w:t>hne</w:t>
      </w:r>
      <w:r w:rsidRPr="00111C16">
        <w:rPr>
          <w:rFonts w:eastAsia="Calibri"/>
          <w:color w:val="auto"/>
          <w:sz w:val="22"/>
          <w:szCs w:val="22"/>
          <w:lang w:val="en-US"/>
        </w:rPr>
        <w:br/>
      </w:r>
      <w:r w:rsidR="00BB1CF2" w:rsidRPr="008234A5">
        <w:rPr>
          <w:rFonts w:eastAsia="Calibri"/>
          <w:color w:val="auto"/>
          <w:sz w:val="22"/>
          <w:szCs w:val="22"/>
          <w:lang w:val="en-US"/>
        </w:rPr>
        <w:t>Director</w:t>
      </w:r>
      <w:r w:rsidR="00981CCC" w:rsidRPr="008234A5">
        <w:rPr>
          <w:rFonts w:eastAsia="Calibri"/>
          <w:color w:val="auto"/>
          <w:sz w:val="22"/>
          <w:szCs w:val="22"/>
          <w:lang w:val="en-US"/>
        </w:rPr>
        <w:t xml:space="preserve"> Communications</w:t>
      </w:r>
      <w:r w:rsidR="008B0BE3">
        <w:rPr>
          <w:rFonts w:eastAsia="Calibri"/>
          <w:color w:val="auto"/>
          <w:sz w:val="22"/>
          <w:szCs w:val="22"/>
          <w:lang w:val="en-US"/>
        </w:rPr>
        <w:t xml:space="preserve"> </w:t>
      </w:r>
      <w:r w:rsidR="008B0BE3" w:rsidRPr="008B0BE3">
        <w:rPr>
          <w:rFonts w:eastAsia="Calibri"/>
          <w:color w:val="auto"/>
          <w:sz w:val="22"/>
          <w:szCs w:val="22"/>
          <w:lang w:val="en-US"/>
        </w:rPr>
        <w:t>and Public Relations</w:t>
      </w:r>
      <w:r w:rsidRPr="00111C16">
        <w:rPr>
          <w:rFonts w:eastAsia="Calibri"/>
          <w:color w:val="auto"/>
          <w:sz w:val="22"/>
          <w:szCs w:val="22"/>
          <w:lang w:val="en-US"/>
        </w:rPr>
        <w:br/>
      </w:r>
      <w:r w:rsidR="00981CCC">
        <w:rPr>
          <w:rFonts w:eastAsia="Calibri"/>
          <w:color w:val="auto"/>
          <w:sz w:val="22"/>
          <w:szCs w:val="22"/>
          <w:lang w:val="en-US"/>
        </w:rPr>
        <w:t>Phone</w:t>
      </w:r>
      <w:r w:rsidRPr="00111C16">
        <w:rPr>
          <w:rFonts w:eastAsia="Calibri"/>
          <w:color w:val="auto"/>
          <w:sz w:val="22"/>
          <w:szCs w:val="22"/>
          <w:lang w:val="en-US"/>
        </w:rPr>
        <w:t>: +49 711 501-12506</w:t>
      </w:r>
      <w:r w:rsidRPr="00111C16">
        <w:rPr>
          <w:rFonts w:eastAsia="Calibri"/>
          <w:color w:val="auto"/>
          <w:sz w:val="22"/>
          <w:szCs w:val="22"/>
          <w:lang w:val="en-US"/>
        </w:rPr>
        <w:br/>
        <w:t>E-Mail: manuela.hoehne@mahle.com</w:t>
      </w:r>
    </w:p>
    <w:p w14:paraId="7D7A06FB" w14:textId="77777777" w:rsidR="001C1B19" w:rsidRPr="00111C16" w:rsidRDefault="006C5795" w:rsidP="001C1B19">
      <w:pPr>
        <w:spacing w:after="360" w:line="320" w:lineRule="atLeast"/>
        <w:ind w:right="2268"/>
        <w:contextualSpacing/>
        <w:rPr>
          <w:rFonts w:eastAsia="Calibri" w:cs="Arial"/>
          <w:color w:val="auto"/>
          <w:sz w:val="22"/>
          <w:szCs w:val="22"/>
          <w:lang w:val="en-US"/>
        </w:rPr>
      </w:pPr>
      <w:r w:rsidRPr="00111C16">
        <w:rPr>
          <w:rFonts w:eastAsia="Calibri" w:cs="Arial"/>
          <w:color w:val="auto"/>
          <w:sz w:val="22"/>
          <w:szCs w:val="22"/>
          <w:lang w:val="en-US"/>
        </w:rPr>
        <w:t>In</w:t>
      </w:r>
      <w:r w:rsidR="003D0137" w:rsidRPr="00111C16">
        <w:rPr>
          <w:rFonts w:eastAsia="Calibri" w:cs="Arial"/>
          <w:color w:val="auto"/>
          <w:sz w:val="22"/>
          <w:szCs w:val="22"/>
          <w:lang w:val="en-US"/>
        </w:rPr>
        <w:t>g</w:t>
      </w:r>
      <w:r w:rsidRPr="00111C16">
        <w:rPr>
          <w:rFonts w:eastAsia="Calibri" w:cs="Arial"/>
          <w:color w:val="auto"/>
          <w:sz w:val="22"/>
          <w:szCs w:val="22"/>
          <w:lang w:val="en-US"/>
        </w:rPr>
        <w:t>o Schnaitmann</w:t>
      </w:r>
    </w:p>
    <w:p w14:paraId="4D6ABBF3" w14:textId="1875DBE8" w:rsidR="001C1B19" w:rsidRPr="00111C16" w:rsidRDefault="00BB1CF2" w:rsidP="001C1B19">
      <w:pPr>
        <w:spacing w:after="360" w:line="320" w:lineRule="atLeast"/>
        <w:ind w:right="2268"/>
        <w:contextualSpacing/>
        <w:rPr>
          <w:rFonts w:eastAsia="Calibri" w:cs="Arial"/>
          <w:color w:val="auto"/>
          <w:sz w:val="22"/>
          <w:szCs w:val="22"/>
          <w:lang w:val="en-US"/>
        </w:rPr>
      </w:pPr>
      <w:r w:rsidRPr="008234A5">
        <w:rPr>
          <w:rFonts w:eastAsia="Calibri" w:cs="Arial"/>
          <w:color w:val="auto"/>
          <w:sz w:val="22"/>
          <w:szCs w:val="22"/>
          <w:lang w:val="en-US"/>
        </w:rPr>
        <w:t>Spokesperson</w:t>
      </w:r>
      <w:r w:rsidR="00981CCC" w:rsidRPr="008234A5">
        <w:rPr>
          <w:rFonts w:eastAsia="Calibri" w:cs="Arial"/>
          <w:color w:val="auto"/>
          <w:sz w:val="22"/>
          <w:szCs w:val="22"/>
          <w:lang w:val="en-US"/>
        </w:rPr>
        <w:t>,</w:t>
      </w:r>
      <w:r w:rsidRPr="008234A5">
        <w:rPr>
          <w:rFonts w:eastAsia="Calibri" w:cs="Arial"/>
          <w:color w:val="auto"/>
          <w:sz w:val="22"/>
          <w:szCs w:val="22"/>
          <w:lang w:val="en-US"/>
        </w:rPr>
        <w:t xml:space="preserve"> Corporate</w:t>
      </w:r>
      <w:r w:rsidR="00981CCC" w:rsidRPr="008234A5">
        <w:rPr>
          <w:rFonts w:eastAsia="Calibri" w:cs="Arial"/>
          <w:color w:val="auto"/>
          <w:sz w:val="22"/>
          <w:szCs w:val="22"/>
          <w:lang w:val="en-US"/>
        </w:rPr>
        <w:t xml:space="preserve"> Communications</w:t>
      </w:r>
    </w:p>
    <w:p w14:paraId="12B9415B" w14:textId="7C820E52" w:rsidR="006C5795" w:rsidRPr="008234A5" w:rsidRDefault="008B0BE3" w:rsidP="006C5795">
      <w:pPr>
        <w:spacing w:after="360" w:line="320" w:lineRule="atLeast"/>
        <w:ind w:right="2268"/>
        <w:contextualSpacing/>
        <w:rPr>
          <w:rFonts w:eastAsia="Calibri" w:cs="Arial"/>
          <w:color w:val="auto"/>
          <w:sz w:val="22"/>
          <w:szCs w:val="22"/>
          <w:lang w:val="en-US"/>
        </w:rPr>
      </w:pPr>
      <w:r w:rsidRPr="008234A5">
        <w:rPr>
          <w:rFonts w:eastAsia="Calibri" w:cs="Arial"/>
          <w:color w:val="auto"/>
          <w:sz w:val="22"/>
          <w:szCs w:val="22"/>
          <w:lang w:val="en-US"/>
        </w:rPr>
        <w:t>P</w:t>
      </w:r>
      <w:r w:rsidR="00981CCC" w:rsidRPr="008234A5">
        <w:rPr>
          <w:rFonts w:eastAsia="Calibri" w:cs="Arial"/>
          <w:color w:val="auto"/>
          <w:sz w:val="22"/>
          <w:szCs w:val="22"/>
          <w:lang w:val="en-US"/>
        </w:rPr>
        <w:t>hone</w:t>
      </w:r>
      <w:r w:rsidR="001C1B19" w:rsidRPr="008234A5">
        <w:rPr>
          <w:rFonts w:eastAsia="Calibri" w:cs="Arial"/>
          <w:color w:val="auto"/>
          <w:sz w:val="22"/>
          <w:szCs w:val="22"/>
          <w:lang w:val="en-US"/>
        </w:rPr>
        <w:t>: +49 711 501-1</w:t>
      </w:r>
      <w:r w:rsidR="006C5795" w:rsidRPr="008234A5">
        <w:rPr>
          <w:rFonts w:eastAsia="Calibri" w:cs="Arial"/>
          <w:color w:val="auto"/>
          <w:sz w:val="22"/>
          <w:szCs w:val="22"/>
          <w:lang w:val="en-US"/>
        </w:rPr>
        <w:t>3185</w:t>
      </w:r>
    </w:p>
    <w:p w14:paraId="680CFEFF" w14:textId="77777777" w:rsidR="001C1B19" w:rsidRPr="008B0BE3" w:rsidRDefault="001C1B19" w:rsidP="006C5795">
      <w:pPr>
        <w:spacing w:after="360" w:line="320" w:lineRule="atLeast"/>
        <w:ind w:right="2268"/>
        <w:contextualSpacing/>
        <w:rPr>
          <w:rFonts w:eastAsia="Calibri" w:cs="Arial"/>
          <w:color w:val="0563C1"/>
          <w:sz w:val="22"/>
          <w:szCs w:val="22"/>
          <w:u w:val="single"/>
        </w:rPr>
      </w:pPr>
      <w:r w:rsidRPr="008B0BE3">
        <w:rPr>
          <w:rFonts w:eastAsia="Calibri" w:cs="Arial"/>
          <w:color w:val="auto"/>
          <w:sz w:val="22"/>
          <w:szCs w:val="22"/>
        </w:rPr>
        <w:t xml:space="preserve">E-Mail: </w:t>
      </w:r>
      <w:hyperlink r:id="rId19" w:history="1">
        <w:r w:rsidR="006C5795" w:rsidRPr="008B0BE3">
          <w:rPr>
            <w:rStyle w:val="Hyperlink"/>
            <w:rFonts w:eastAsia="Calibri" w:cs="Arial"/>
            <w:sz w:val="22"/>
            <w:szCs w:val="22"/>
          </w:rPr>
          <w:t>ingo.schnaitmann@mahle.com</w:t>
        </w:r>
      </w:hyperlink>
    </w:p>
    <w:p w14:paraId="559F6CA7" w14:textId="77777777" w:rsidR="001C1B19" w:rsidRPr="008B0BE3" w:rsidRDefault="001C1B19" w:rsidP="001C1B19">
      <w:pPr>
        <w:spacing w:after="360" w:line="320" w:lineRule="atLeast"/>
        <w:ind w:right="2268"/>
        <w:contextualSpacing/>
        <w:rPr>
          <w:rFonts w:eastAsia="Calibri" w:cs="Arial"/>
          <w:color w:val="auto"/>
          <w:sz w:val="22"/>
          <w:szCs w:val="22"/>
        </w:rPr>
      </w:pPr>
    </w:p>
    <w:p w14:paraId="1C89F842" w14:textId="77777777" w:rsidR="004451CE" w:rsidRPr="008B0BE3" w:rsidRDefault="004451CE" w:rsidP="008E45AF">
      <w:pPr>
        <w:pBdr>
          <w:bottom w:val="single" w:sz="6" w:space="1" w:color="auto"/>
        </w:pBdr>
        <w:spacing w:after="120" w:line="320" w:lineRule="atLeast"/>
        <w:ind w:right="-434"/>
        <w:rPr>
          <w:rFonts w:eastAsia="Calibri" w:cs="Arial"/>
          <w:b/>
          <w:color w:val="000000"/>
          <w:szCs w:val="18"/>
        </w:rPr>
      </w:pPr>
    </w:p>
    <w:p w14:paraId="7405C7E0" w14:textId="77777777" w:rsidR="004451CE" w:rsidRPr="008B0BE3" w:rsidRDefault="004451CE" w:rsidP="008E45AF">
      <w:pPr>
        <w:pBdr>
          <w:bottom w:val="single" w:sz="6" w:space="1" w:color="auto"/>
        </w:pBdr>
        <w:spacing w:after="120" w:line="320" w:lineRule="atLeast"/>
        <w:ind w:right="-434"/>
        <w:rPr>
          <w:rFonts w:eastAsia="Calibri" w:cs="Arial"/>
          <w:b/>
          <w:color w:val="000000"/>
          <w:szCs w:val="18"/>
        </w:rPr>
      </w:pPr>
    </w:p>
    <w:p w14:paraId="1CD1DCA8" w14:textId="77777777" w:rsidR="004451CE" w:rsidRPr="008B0BE3" w:rsidRDefault="004451CE" w:rsidP="008E45AF">
      <w:pPr>
        <w:pBdr>
          <w:bottom w:val="single" w:sz="6" w:space="1" w:color="auto"/>
        </w:pBdr>
        <w:spacing w:after="120" w:line="320" w:lineRule="atLeast"/>
        <w:ind w:right="-434"/>
        <w:rPr>
          <w:rFonts w:eastAsia="Calibri" w:cs="Arial"/>
          <w:b/>
          <w:color w:val="000000"/>
          <w:szCs w:val="18"/>
        </w:rPr>
      </w:pPr>
    </w:p>
    <w:p w14:paraId="3A0ACB4F" w14:textId="77777777" w:rsidR="004451CE" w:rsidRPr="008B0BE3" w:rsidRDefault="004451CE" w:rsidP="008E45AF">
      <w:pPr>
        <w:pBdr>
          <w:bottom w:val="single" w:sz="6" w:space="1" w:color="auto"/>
        </w:pBdr>
        <w:spacing w:after="120" w:line="320" w:lineRule="atLeast"/>
        <w:ind w:right="-434"/>
        <w:rPr>
          <w:rFonts w:eastAsia="Calibri" w:cs="Arial"/>
          <w:b/>
          <w:color w:val="000000"/>
          <w:szCs w:val="18"/>
        </w:rPr>
      </w:pPr>
    </w:p>
    <w:p w14:paraId="4B266AF8" w14:textId="77777777" w:rsidR="004451CE" w:rsidRPr="008B0BE3" w:rsidRDefault="004451CE" w:rsidP="008E45AF">
      <w:pPr>
        <w:pBdr>
          <w:bottom w:val="single" w:sz="6" w:space="1" w:color="auto"/>
        </w:pBdr>
        <w:spacing w:after="120" w:line="320" w:lineRule="atLeast"/>
        <w:ind w:right="-434"/>
        <w:rPr>
          <w:rFonts w:eastAsia="Calibri" w:cs="Arial"/>
          <w:b/>
          <w:color w:val="000000"/>
          <w:szCs w:val="18"/>
        </w:rPr>
      </w:pPr>
    </w:p>
    <w:p w14:paraId="1BE27AB2" w14:textId="77777777" w:rsidR="004451CE" w:rsidRPr="008B0BE3" w:rsidRDefault="004451CE" w:rsidP="008E45AF">
      <w:pPr>
        <w:pBdr>
          <w:bottom w:val="single" w:sz="6" w:space="1" w:color="auto"/>
        </w:pBdr>
        <w:spacing w:after="120" w:line="320" w:lineRule="atLeast"/>
        <w:ind w:right="-434"/>
        <w:rPr>
          <w:rFonts w:eastAsia="Calibri" w:cs="Arial"/>
          <w:b/>
          <w:color w:val="000000"/>
          <w:szCs w:val="18"/>
        </w:rPr>
      </w:pPr>
    </w:p>
    <w:p w14:paraId="5A89C6E5" w14:textId="77777777" w:rsidR="004451CE" w:rsidRPr="008B0BE3" w:rsidRDefault="004451CE" w:rsidP="008E45AF">
      <w:pPr>
        <w:pBdr>
          <w:bottom w:val="single" w:sz="6" w:space="1" w:color="auto"/>
        </w:pBdr>
        <w:spacing w:after="120" w:line="320" w:lineRule="atLeast"/>
        <w:ind w:right="-434"/>
        <w:rPr>
          <w:rFonts w:eastAsia="Calibri" w:cs="Arial"/>
          <w:b/>
          <w:color w:val="000000"/>
          <w:szCs w:val="18"/>
        </w:rPr>
      </w:pPr>
    </w:p>
    <w:p w14:paraId="72A01CED" w14:textId="77777777" w:rsidR="004451CE" w:rsidRPr="008B0BE3" w:rsidRDefault="004451CE" w:rsidP="008E45AF">
      <w:pPr>
        <w:pBdr>
          <w:bottom w:val="single" w:sz="6" w:space="1" w:color="auto"/>
        </w:pBdr>
        <w:spacing w:after="120" w:line="320" w:lineRule="atLeast"/>
        <w:ind w:right="-434"/>
        <w:rPr>
          <w:rFonts w:eastAsia="Calibri" w:cs="Arial"/>
          <w:b/>
          <w:color w:val="000000"/>
          <w:szCs w:val="18"/>
        </w:rPr>
      </w:pPr>
    </w:p>
    <w:p w14:paraId="038292DB" w14:textId="3F844A19" w:rsidR="004451CE" w:rsidRDefault="004451CE" w:rsidP="008E45AF">
      <w:pPr>
        <w:pBdr>
          <w:bottom w:val="single" w:sz="6" w:space="1" w:color="auto"/>
        </w:pBdr>
        <w:spacing w:after="120" w:line="320" w:lineRule="atLeast"/>
        <w:ind w:right="-434"/>
        <w:rPr>
          <w:rFonts w:eastAsia="Calibri" w:cs="Arial"/>
          <w:b/>
          <w:color w:val="000000"/>
          <w:szCs w:val="18"/>
        </w:rPr>
      </w:pPr>
    </w:p>
    <w:p w14:paraId="511B8137" w14:textId="2738F68B" w:rsidR="00E66DA8" w:rsidRDefault="00E66DA8" w:rsidP="008E45AF">
      <w:pPr>
        <w:pBdr>
          <w:bottom w:val="single" w:sz="6" w:space="1" w:color="auto"/>
        </w:pBdr>
        <w:spacing w:after="120" w:line="320" w:lineRule="atLeast"/>
        <w:ind w:right="-434"/>
        <w:rPr>
          <w:rFonts w:eastAsia="Calibri" w:cs="Arial"/>
          <w:b/>
          <w:color w:val="000000"/>
          <w:szCs w:val="18"/>
        </w:rPr>
      </w:pPr>
    </w:p>
    <w:p w14:paraId="4F570AFC" w14:textId="594D533E" w:rsidR="00E66DA8" w:rsidRDefault="00E66DA8" w:rsidP="008E45AF">
      <w:pPr>
        <w:pBdr>
          <w:bottom w:val="single" w:sz="6" w:space="1" w:color="auto"/>
        </w:pBdr>
        <w:spacing w:after="120" w:line="320" w:lineRule="atLeast"/>
        <w:ind w:right="-434"/>
        <w:rPr>
          <w:rFonts w:eastAsia="Calibri" w:cs="Arial"/>
          <w:b/>
          <w:color w:val="000000"/>
          <w:szCs w:val="18"/>
        </w:rPr>
      </w:pPr>
    </w:p>
    <w:p w14:paraId="067F485F" w14:textId="5C0805A1" w:rsidR="00E66DA8" w:rsidRDefault="00E66DA8" w:rsidP="008E45AF">
      <w:pPr>
        <w:pBdr>
          <w:bottom w:val="single" w:sz="6" w:space="1" w:color="auto"/>
        </w:pBdr>
        <w:spacing w:after="120" w:line="320" w:lineRule="atLeast"/>
        <w:ind w:right="-434"/>
        <w:rPr>
          <w:rFonts w:eastAsia="Calibri" w:cs="Arial"/>
          <w:b/>
          <w:color w:val="000000"/>
          <w:szCs w:val="18"/>
        </w:rPr>
      </w:pPr>
    </w:p>
    <w:p w14:paraId="3ACCD644" w14:textId="5F44D44E" w:rsidR="00E66DA8" w:rsidRDefault="00E66DA8" w:rsidP="008E45AF">
      <w:pPr>
        <w:pBdr>
          <w:bottom w:val="single" w:sz="6" w:space="1" w:color="auto"/>
        </w:pBdr>
        <w:spacing w:after="120" w:line="320" w:lineRule="atLeast"/>
        <w:ind w:right="-434"/>
        <w:rPr>
          <w:rFonts w:eastAsia="Calibri" w:cs="Arial"/>
          <w:b/>
          <w:color w:val="000000"/>
          <w:szCs w:val="18"/>
        </w:rPr>
      </w:pPr>
    </w:p>
    <w:p w14:paraId="6E9199DC" w14:textId="77777777" w:rsidR="00E66DA8" w:rsidRPr="008B0BE3" w:rsidRDefault="00E66DA8" w:rsidP="008E45AF">
      <w:pPr>
        <w:pBdr>
          <w:bottom w:val="single" w:sz="6" w:space="1" w:color="auto"/>
        </w:pBdr>
        <w:spacing w:after="120" w:line="320" w:lineRule="atLeast"/>
        <w:ind w:right="-434"/>
        <w:rPr>
          <w:rFonts w:eastAsia="Calibri" w:cs="Arial"/>
          <w:b/>
          <w:color w:val="000000"/>
          <w:szCs w:val="18"/>
        </w:rPr>
      </w:pPr>
    </w:p>
    <w:p w14:paraId="43489E9F" w14:textId="77777777" w:rsidR="009C6319" w:rsidRPr="008B0BE3" w:rsidRDefault="009C6319" w:rsidP="008E45AF">
      <w:pPr>
        <w:pBdr>
          <w:bottom w:val="single" w:sz="6" w:space="1" w:color="auto"/>
        </w:pBdr>
        <w:spacing w:after="120" w:line="320" w:lineRule="atLeast"/>
        <w:ind w:right="-434"/>
        <w:rPr>
          <w:rFonts w:eastAsia="Calibri" w:cs="Arial"/>
          <w:b/>
          <w:color w:val="000000"/>
          <w:szCs w:val="18"/>
        </w:rPr>
      </w:pPr>
    </w:p>
    <w:p w14:paraId="2F7B9B96" w14:textId="77777777" w:rsidR="008B0BE3" w:rsidRPr="00A97AA3" w:rsidRDefault="008B0BE3" w:rsidP="008B0BE3">
      <w:pPr>
        <w:spacing w:after="120" w:line="320" w:lineRule="atLeast"/>
        <w:ind w:right="2268"/>
        <w:rPr>
          <w:rFonts w:eastAsia="Calibri" w:cs="Arial"/>
          <w:b/>
          <w:color w:val="000000"/>
          <w:szCs w:val="18"/>
          <w:lang w:val="en-US"/>
        </w:rPr>
      </w:pPr>
      <w:r w:rsidRPr="00A97AA3">
        <w:rPr>
          <w:rFonts w:eastAsia="Calibri" w:cs="Arial"/>
          <w:b/>
          <w:color w:val="000000"/>
          <w:szCs w:val="18"/>
          <w:lang w:val="en-US"/>
        </w:rPr>
        <w:t>About MAHLE</w:t>
      </w:r>
    </w:p>
    <w:p w14:paraId="340C8536" w14:textId="77777777" w:rsidR="008B0BE3" w:rsidRPr="00B72D21" w:rsidRDefault="008B0BE3" w:rsidP="008B0BE3">
      <w:pPr>
        <w:rPr>
          <w:lang w:val="en-US"/>
        </w:rPr>
      </w:pPr>
      <w:r w:rsidRPr="00B72D21">
        <w:rPr>
          <w:lang w:val="en-US"/>
        </w:rPr>
        <w:t>MAHLE is a leading international development partner and supplier to the automotive industry. The technology group is now broadly positioned in the areas of powertrain technology and thermal management with a clear focus on future topics relating to mobility. As part of its dual strategy, MAHLE is working both on the intelligent combustion engine for the use of hydrogen and other nonfossil fuels and on technologies that will help the fuel cell and e-mobility achieve broad acceptance in the markets. The product portfolio of the company, which was founded in 1920, addresses all the crucial aspects of the powertrain and air conditioning technology. Half of all vehicles in the world now contain MAHLE components. #weshapefuturemobility</w:t>
      </w:r>
    </w:p>
    <w:p w14:paraId="5F5F398A" w14:textId="77777777" w:rsidR="008B0BE3" w:rsidRPr="002F6B14" w:rsidRDefault="008B0BE3" w:rsidP="008B0BE3">
      <w:pPr>
        <w:rPr>
          <w:lang w:val="en-US"/>
        </w:rPr>
      </w:pPr>
      <w:r w:rsidRPr="00B72D21">
        <w:rPr>
          <w:lang w:val="en-US"/>
        </w:rPr>
        <w:t>In 2020, MAHLE generated sales of approximately EUR 9.8 billion and is represented in over 30 countries with more than 72,000 employees in 160 production locations and 12 major research and development centers. (Last revised: 2020-12-31)</w:t>
      </w:r>
    </w:p>
    <w:p w14:paraId="54C338F3" w14:textId="6DF3CCE7" w:rsidR="00FE2850" w:rsidRPr="00111C16" w:rsidRDefault="00FE2850" w:rsidP="008B0BE3">
      <w:pPr>
        <w:spacing w:after="120" w:line="320" w:lineRule="atLeast"/>
        <w:ind w:right="2268"/>
        <w:rPr>
          <w:lang w:val="en-US"/>
        </w:rPr>
      </w:pPr>
    </w:p>
    <w:sectPr w:rsidR="00FE2850" w:rsidRPr="00111C16" w:rsidSect="0010532B">
      <w:headerReference w:type="default" r:id="rId20"/>
      <w:footerReference w:type="default" r:id="rId21"/>
      <w:pgSz w:w="11900" w:h="16840"/>
      <w:pgMar w:top="2268" w:right="851" w:bottom="1418" w:left="851" w:header="1247"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7FD38" w14:textId="77777777" w:rsidR="0046660F" w:rsidRDefault="0046660F" w:rsidP="002A13F8">
      <w:r>
        <w:separator/>
      </w:r>
    </w:p>
    <w:p w14:paraId="1F3A19ED" w14:textId="77777777" w:rsidR="0046660F" w:rsidRDefault="0046660F"/>
  </w:endnote>
  <w:endnote w:type="continuationSeparator" w:id="0">
    <w:p w14:paraId="353F456D" w14:textId="77777777" w:rsidR="0046660F" w:rsidRDefault="0046660F" w:rsidP="002A13F8">
      <w:r>
        <w:continuationSeparator/>
      </w:r>
    </w:p>
    <w:p w14:paraId="57574010" w14:textId="77777777" w:rsidR="0046660F" w:rsidRDefault="00466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8C55E" w14:textId="77777777" w:rsidR="009312CB" w:rsidRPr="002202C2" w:rsidRDefault="00103649" w:rsidP="006E516A">
    <w:pPr>
      <w:pStyle w:val="CopyPaginierung"/>
    </w:pPr>
    <w:r>
      <w:t xml:space="preserve">Page </w:t>
    </w:r>
    <w:r w:rsidR="0079554D">
      <w:t xml:space="preserve"> </w:t>
    </w:r>
    <w:r w:rsidR="00F72BF3">
      <w:fldChar w:fldCharType="begin"/>
    </w:r>
    <w:r w:rsidR="0051113C">
      <w:instrText xml:space="preserve"> PAGE  \* MERGEFORMAT </w:instrText>
    </w:r>
    <w:r w:rsidR="00F72BF3">
      <w:fldChar w:fldCharType="separate"/>
    </w:r>
    <w:r w:rsidR="0046660F">
      <w:rPr>
        <w:noProof/>
      </w:rPr>
      <w:t>1</w:t>
    </w:r>
    <w:r w:rsidR="00F72BF3">
      <w:fldChar w:fldCharType="end"/>
    </w:r>
    <w:r>
      <w:t xml:space="preserve"> of </w:t>
    </w:r>
    <w:fldSimple w:instr=" NUMPAGES  \* MERGEFORMAT ">
      <w:r w:rsidR="0046660F">
        <w:rPr>
          <w:noProof/>
        </w:rPr>
        <w:t>1</w:t>
      </w:r>
    </w:fldSimple>
  </w:p>
  <w:p w14:paraId="1E986E09" w14:textId="77777777" w:rsidR="009312CB" w:rsidRDefault="009312CB" w:rsidP="002A1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796DD" w14:textId="77777777" w:rsidR="0046660F" w:rsidRDefault="0046660F" w:rsidP="002A13F8">
      <w:r>
        <w:separator/>
      </w:r>
    </w:p>
    <w:p w14:paraId="65135B39" w14:textId="77777777" w:rsidR="0046660F" w:rsidRDefault="0046660F"/>
  </w:footnote>
  <w:footnote w:type="continuationSeparator" w:id="0">
    <w:p w14:paraId="2D736D41" w14:textId="77777777" w:rsidR="0046660F" w:rsidRDefault="0046660F" w:rsidP="002A13F8">
      <w:r>
        <w:continuationSeparator/>
      </w:r>
    </w:p>
    <w:p w14:paraId="4033116F" w14:textId="77777777" w:rsidR="0046660F" w:rsidRDefault="00466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C35B" w14:textId="77777777" w:rsidR="0033782B" w:rsidRPr="002A7B79" w:rsidRDefault="0033782B" w:rsidP="002A13F8">
    <w:r w:rsidRPr="002A7B79">
      <w:rPr>
        <w:noProof/>
        <w:lang w:eastAsia="de-DE"/>
      </w:rPr>
      <w:drawing>
        <wp:anchor distT="0" distB="0" distL="114300" distR="114300" simplePos="0" relativeHeight="251658240" behindDoc="0" locked="1" layoutInCell="1" allowOverlap="0" wp14:anchorId="1D41A36C" wp14:editId="7A273714">
          <wp:simplePos x="0" y="0"/>
          <wp:positionH relativeFrom="rightMargin">
            <wp:posOffset>-1452245</wp:posOffset>
          </wp:positionH>
          <wp:positionV relativeFrom="topMargin">
            <wp:posOffset>641985</wp:posOffset>
          </wp:positionV>
          <wp:extent cx="1461135" cy="32258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hle_SL_4c.eps"/>
                  <pic:cNvPicPr/>
                </pic:nvPicPr>
                <pic:blipFill>
                  <a:blip r:embed="rId1">
                    <a:extLst>
                      <a:ext uri="{28A0092B-C50C-407E-A947-70E740481C1C}">
                        <a14:useLocalDpi xmlns:a14="http://schemas.microsoft.com/office/drawing/2010/main" val="0"/>
                      </a:ext>
                    </a:extLst>
                  </a:blip>
                  <a:stretch>
                    <a:fillRect/>
                  </a:stretch>
                </pic:blipFill>
                <pic:spPr>
                  <a:xfrm>
                    <a:off x="0" y="0"/>
                    <a:ext cx="1461135" cy="322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8E64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C06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3AAE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2A7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9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02C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6EE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3621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1E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DCB418"/>
    <w:lvl w:ilvl="0">
      <w:start w:val="1"/>
      <w:numFmt w:val="bullet"/>
      <w:lvlText w:val=""/>
      <w:lvlJc w:val="left"/>
      <w:pPr>
        <w:ind w:left="1134" w:hanging="737"/>
      </w:pPr>
      <w:rPr>
        <w:rFonts w:ascii="Wingdings" w:hAnsi="Wingdings" w:hint="default"/>
      </w:rPr>
    </w:lvl>
  </w:abstractNum>
  <w:abstractNum w:abstractNumId="10" w15:restartNumberingAfterBreak="0">
    <w:nsid w:val="01A659F0"/>
    <w:multiLevelType w:val="hybridMultilevel"/>
    <w:tmpl w:val="EC80ABEA"/>
    <w:lvl w:ilvl="0" w:tplc="C5865040">
      <w:start w:val="1"/>
      <w:numFmt w:val="bullet"/>
      <w:pStyle w:val="CopyBulletpoin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F94B13"/>
    <w:multiLevelType w:val="hybridMultilevel"/>
    <w:tmpl w:val="CB12EFC2"/>
    <w:lvl w:ilvl="0" w:tplc="04070001">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8C0C6A"/>
    <w:multiLevelType w:val="hybridMultilevel"/>
    <w:tmpl w:val="AB402F80"/>
    <w:lvl w:ilvl="0" w:tplc="DAE66B66">
      <w:numFmt w:val="bullet"/>
      <w:lvlText w:val="•"/>
      <w:lvlJc w:val="left"/>
      <w:pPr>
        <w:ind w:left="720" w:hanging="360"/>
      </w:pPr>
      <w:rPr>
        <w:rFonts w:ascii="HelveticaNeueLT Std Lt" w:eastAsiaTheme="minorHAnsi" w:hAnsi="HelveticaNeueLT Std Lt" w:cs="HelveticaNeueLT Std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84B5BDC"/>
    <w:multiLevelType w:val="multilevel"/>
    <w:tmpl w:val="DFC88E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4E7D1D"/>
    <w:multiLevelType w:val="hybridMultilevel"/>
    <w:tmpl w:val="44F8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7F000B"/>
    <w:multiLevelType w:val="multilevel"/>
    <w:tmpl w:val="7A9E5A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2A1B6E"/>
    <w:multiLevelType w:val="hybridMultilevel"/>
    <w:tmpl w:val="0A94540C"/>
    <w:lvl w:ilvl="0" w:tplc="DAE66B66">
      <w:numFmt w:val="bullet"/>
      <w:lvlText w:val="•"/>
      <w:lvlJc w:val="left"/>
      <w:pPr>
        <w:ind w:left="360" w:hanging="360"/>
      </w:pPr>
      <w:rPr>
        <w:rFonts w:ascii="HelveticaNeueLT Std Lt" w:eastAsiaTheme="minorHAnsi" w:hAnsi="HelveticaNeueLT Std Lt" w:cs="HelveticaNeueLT Std Lt" w:hint="default"/>
        <w:b w:val="0"/>
        <w:i w:val="0"/>
        <w:color w:val="000000" w:themeColor="text1"/>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95362C"/>
    <w:multiLevelType w:val="hybridMultilevel"/>
    <w:tmpl w:val="01C4F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C03D99"/>
    <w:multiLevelType w:val="hybridMultilevel"/>
    <w:tmpl w:val="B64AEC6E"/>
    <w:lvl w:ilvl="0" w:tplc="07BE4494">
      <w:start w:val="1"/>
      <w:numFmt w:val="bullet"/>
      <w:lvlText w:val=""/>
      <w:lvlJc w:val="left"/>
      <w:pPr>
        <w:tabs>
          <w:tab w:val="num" w:pos="1134"/>
        </w:tabs>
        <w:ind w:left="1134" w:hanging="56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3920F2"/>
    <w:multiLevelType w:val="hybridMultilevel"/>
    <w:tmpl w:val="52F04896"/>
    <w:lvl w:ilvl="0" w:tplc="E7AE9192">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6F3D4F"/>
    <w:multiLevelType w:val="hybridMultilevel"/>
    <w:tmpl w:val="8A848B50"/>
    <w:lvl w:ilvl="0" w:tplc="DAE66B66">
      <w:numFmt w:val="bullet"/>
      <w:lvlText w:val="•"/>
      <w:lvlJc w:val="left"/>
      <w:pPr>
        <w:ind w:left="720" w:hanging="360"/>
      </w:pPr>
      <w:rPr>
        <w:rFonts w:ascii="HelveticaNeueLT Std Lt" w:eastAsiaTheme="minorHAnsi" w:hAnsi="HelveticaNeueLT Std Lt" w:cs="HelveticaNeueLT Std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782AFF"/>
    <w:multiLevelType w:val="hybridMultilevel"/>
    <w:tmpl w:val="920A2FB4"/>
    <w:lvl w:ilvl="0" w:tplc="DAE66B66">
      <w:numFmt w:val="bullet"/>
      <w:lvlText w:val="•"/>
      <w:lvlJc w:val="left"/>
      <w:pPr>
        <w:ind w:left="360" w:hanging="360"/>
      </w:pPr>
      <w:rPr>
        <w:rFonts w:ascii="HelveticaNeueLT Std Lt" w:eastAsiaTheme="minorHAnsi" w:hAnsi="HelveticaNeueLT Std Lt" w:cs="HelveticaNeueLT Std Lt" w:hint="default"/>
        <w:b w:val="0"/>
        <w:i w:val="0"/>
        <w:color w:val="000000" w:themeColor="text1"/>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C5250C"/>
    <w:multiLevelType w:val="hybridMultilevel"/>
    <w:tmpl w:val="CA1889F4"/>
    <w:lvl w:ilvl="0" w:tplc="6F6C16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3C6374"/>
    <w:multiLevelType w:val="hybridMultilevel"/>
    <w:tmpl w:val="C21E8E9A"/>
    <w:lvl w:ilvl="0" w:tplc="5060E8BE">
      <w:start w:val="1"/>
      <w:numFmt w:val="bullet"/>
      <w:lvlText w:val=""/>
      <w:lvlJc w:val="left"/>
      <w:pPr>
        <w:tabs>
          <w:tab w:val="num" w:pos="1985"/>
        </w:tabs>
        <w:ind w:left="1134" w:hanging="28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F36B36"/>
    <w:multiLevelType w:val="hybridMultilevel"/>
    <w:tmpl w:val="A5C61E1A"/>
    <w:lvl w:ilvl="0" w:tplc="CBE81818">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DF235D"/>
    <w:multiLevelType w:val="hybridMultilevel"/>
    <w:tmpl w:val="AE36EDBE"/>
    <w:lvl w:ilvl="0" w:tplc="DAE66B66">
      <w:numFmt w:val="bullet"/>
      <w:lvlText w:val="•"/>
      <w:lvlJc w:val="left"/>
      <w:pPr>
        <w:ind w:left="360" w:hanging="360"/>
      </w:pPr>
      <w:rPr>
        <w:rFonts w:ascii="HelveticaNeueLT Std Lt" w:eastAsiaTheme="minorHAnsi" w:hAnsi="HelveticaNeueLT Std Lt" w:cs="HelveticaNeueLT Std Lt" w:hint="default"/>
        <w:b w:val="0"/>
        <w:i w:val="0"/>
        <w:color w:val="000000" w:themeColor="text1"/>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EB3DA5"/>
    <w:multiLevelType w:val="hybridMultilevel"/>
    <w:tmpl w:val="4F48DF86"/>
    <w:lvl w:ilvl="0" w:tplc="289C45CC">
      <w:numFmt w:val="bullet"/>
      <w:lvlText w:val="•"/>
      <w:lvlJc w:val="left"/>
      <w:pPr>
        <w:ind w:left="284" w:hanging="284"/>
      </w:pPr>
      <w:rPr>
        <w:rFonts w:ascii="HelveticaNeueLT Std Lt" w:eastAsiaTheme="minorHAnsi" w:hAnsi="HelveticaNeueLT Std Lt" w:cs="HelveticaNeueLT Std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6018EC"/>
    <w:multiLevelType w:val="hybridMultilevel"/>
    <w:tmpl w:val="784A429A"/>
    <w:lvl w:ilvl="0" w:tplc="D1600A28">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27"/>
  </w:num>
  <w:num w:numId="14">
    <w:abstractNumId w:val="21"/>
  </w:num>
  <w:num w:numId="15">
    <w:abstractNumId w:val="16"/>
  </w:num>
  <w:num w:numId="16">
    <w:abstractNumId w:val="25"/>
  </w:num>
  <w:num w:numId="17">
    <w:abstractNumId w:val="20"/>
  </w:num>
  <w:num w:numId="18">
    <w:abstractNumId w:val="26"/>
  </w:num>
  <w:num w:numId="19">
    <w:abstractNumId w:val="24"/>
  </w:num>
  <w:num w:numId="20">
    <w:abstractNumId w:val="15"/>
  </w:num>
  <w:num w:numId="21">
    <w:abstractNumId w:val="22"/>
  </w:num>
  <w:num w:numId="22">
    <w:abstractNumId w:val="18"/>
  </w:num>
  <w:num w:numId="23">
    <w:abstractNumId w:val="19"/>
  </w:num>
  <w:num w:numId="24">
    <w:abstractNumId w:val="23"/>
  </w:num>
  <w:num w:numId="25">
    <w:abstractNumId w:val="17"/>
  </w:num>
  <w:num w:numId="26">
    <w:abstractNumId w:val="10"/>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DE3"/>
    <w:rsid w:val="000158DA"/>
    <w:rsid w:val="00015B03"/>
    <w:rsid w:val="00017C0F"/>
    <w:rsid w:val="000202B1"/>
    <w:rsid w:val="000235FB"/>
    <w:rsid w:val="000255C1"/>
    <w:rsid w:val="00034196"/>
    <w:rsid w:val="00040633"/>
    <w:rsid w:val="00041E4D"/>
    <w:rsid w:val="000433AB"/>
    <w:rsid w:val="000446AC"/>
    <w:rsid w:val="000604CF"/>
    <w:rsid w:val="0006277D"/>
    <w:rsid w:val="00062B2A"/>
    <w:rsid w:val="00067134"/>
    <w:rsid w:val="000706CD"/>
    <w:rsid w:val="00070CBB"/>
    <w:rsid w:val="0008601C"/>
    <w:rsid w:val="000B33BA"/>
    <w:rsid w:val="000C330C"/>
    <w:rsid w:val="000E0329"/>
    <w:rsid w:val="000E358D"/>
    <w:rsid w:val="000E4DE3"/>
    <w:rsid w:val="000E7DBF"/>
    <w:rsid w:val="000F0471"/>
    <w:rsid w:val="000F76FC"/>
    <w:rsid w:val="00102698"/>
    <w:rsid w:val="00103649"/>
    <w:rsid w:val="0010429F"/>
    <w:rsid w:val="0010532B"/>
    <w:rsid w:val="00107D55"/>
    <w:rsid w:val="00111C16"/>
    <w:rsid w:val="00112505"/>
    <w:rsid w:val="00127E32"/>
    <w:rsid w:val="0013314B"/>
    <w:rsid w:val="00151552"/>
    <w:rsid w:val="0015398C"/>
    <w:rsid w:val="00157163"/>
    <w:rsid w:val="00166ED3"/>
    <w:rsid w:val="00167BFD"/>
    <w:rsid w:val="00174FA5"/>
    <w:rsid w:val="00176112"/>
    <w:rsid w:val="001834B9"/>
    <w:rsid w:val="00183B5C"/>
    <w:rsid w:val="0019260F"/>
    <w:rsid w:val="00192D1C"/>
    <w:rsid w:val="00196B22"/>
    <w:rsid w:val="001A0EDB"/>
    <w:rsid w:val="001A113E"/>
    <w:rsid w:val="001B0996"/>
    <w:rsid w:val="001B3596"/>
    <w:rsid w:val="001C02D7"/>
    <w:rsid w:val="001C1B19"/>
    <w:rsid w:val="001D3520"/>
    <w:rsid w:val="001D5525"/>
    <w:rsid w:val="001F0BBF"/>
    <w:rsid w:val="001F49AB"/>
    <w:rsid w:val="00200BB4"/>
    <w:rsid w:val="00202699"/>
    <w:rsid w:val="00220259"/>
    <w:rsid w:val="002202C2"/>
    <w:rsid w:val="0022631B"/>
    <w:rsid w:val="00231522"/>
    <w:rsid w:val="0023545D"/>
    <w:rsid w:val="00236AD9"/>
    <w:rsid w:val="00240F10"/>
    <w:rsid w:val="002433D9"/>
    <w:rsid w:val="0024425C"/>
    <w:rsid w:val="00245BD7"/>
    <w:rsid w:val="00250975"/>
    <w:rsid w:val="00257621"/>
    <w:rsid w:val="00263023"/>
    <w:rsid w:val="00266A3D"/>
    <w:rsid w:val="00280DD1"/>
    <w:rsid w:val="00284DC5"/>
    <w:rsid w:val="00290401"/>
    <w:rsid w:val="00290D0F"/>
    <w:rsid w:val="002A13F8"/>
    <w:rsid w:val="002A1741"/>
    <w:rsid w:val="002A2D35"/>
    <w:rsid w:val="002A640A"/>
    <w:rsid w:val="002A7B79"/>
    <w:rsid w:val="002B2974"/>
    <w:rsid w:val="002C142B"/>
    <w:rsid w:val="002C3488"/>
    <w:rsid w:val="002D224C"/>
    <w:rsid w:val="002D387B"/>
    <w:rsid w:val="002D47C1"/>
    <w:rsid w:val="002D7996"/>
    <w:rsid w:val="002D7F58"/>
    <w:rsid w:val="002E0430"/>
    <w:rsid w:val="002E4F5F"/>
    <w:rsid w:val="002E5FBB"/>
    <w:rsid w:val="002E7BC9"/>
    <w:rsid w:val="002F1F90"/>
    <w:rsid w:val="002F7D0E"/>
    <w:rsid w:val="00302741"/>
    <w:rsid w:val="00310CCC"/>
    <w:rsid w:val="00316EBF"/>
    <w:rsid w:val="003175B7"/>
    <w:rsid w:val="0033782B"/>
    <w:rsid w:val="00342F0C"/>
    <w:rsid w:val="0034413F"/>
    <w:rsid w:val="00344B2F"/>
    <w:rsid w:val="003503F0"/>
    <w:rsid w:val="00353D80"/>
    <w:rsid w:val="003550A7"/>
    <w:rsid w:val="003620B0"/>
    <w:rsid w:val="00370ADF"/>
    <w:rsid w:val="00375AAB"/>
    <w:rsid w:val="00395D9F"/>
    <w:rsid w:val="003A2715"/>
    <w:rsid w:val="003A43F3"/>
    <w:rsid w:val="003A73A0"/>
    <w:rsid w:val="003B4A84"/>
    <w:rsid w:val="003B57C7"/>
    <w:rsid w:val="003B6F02"/>
    <w:rsid w:val="003C521D"/>
    <w:rsid w:val="003D0137"/>
    <w:rsid w:val="003D1CDE"/>
    <w:rsid w:val="003D403E"/>
    <w:rsid w:val="003D6370"/>
    <w:rsid w:val="003E7B4A"/>
    <w:rsid w:val="003F031D"/>
    <w:rsid w:val="003F091F"/>
    <w:rsid w:val="003F30F7"/>
    <w:rsid w:val="003F3E1E"/>
    <w:rsid w:val="00407D5A"/>
    <w:rsid w:val="00411188"/>
    <w:rsid w:val="004139ED"/>
    <w:rsid w:val="00435ED6"/>
    <w:rsid w:val="004364D9"/>
    <w:rsid w:val="00440A1A"/>
    <w:rsid w:val="00443E52"/>
    <w:rsid w:val="004451CE"/>
    <w:rsid w:val="0046660F"/>
    <w:rsid w:val="0048188C"/>
    <w:rsid w:val="00482A20"/>
    <w:rsid w:val="00483CCE"/>
    <w:rsid w:val="00490364"/>
    <w:rsid w:val="0049606A"/>
    <w:rsid w:val="004A255F"/>
    <w:rsid w:val="004B19F3"/>
    <w:rsid w:val="004B39B5"/>
    <w:rsid w:val="004C0717"/>
    <w:rsid w:val="004C0CB2"/>
    <w:rsid w:val="004D5E24"/>
    <w:rsid w:val="004D6CEA"/>
    <w:rsid w:val="004F0BCE"/>
    <w:rsid w:val="004F1BD5"/>
    <w:rsid w:val="004F376D"/>
    <w:rsid w:val="004F622A"/>
    <w:rsid w:val="005020A7"/>
    <w:rsid w:val="0050332C"/>
    <w:rsid w:val="005103DB"/>
    <w:rsid w:val="0051113C"/>
    <w:rsid w:val="00513B34"/>
    <w:rsid w:val="00517C26"/>
    <w:rsid w:val="005334B0"/>
    <w:rsid w:val="00556BC6"/>
    <w:rsid w:val="00561760"/>
    <w:rsid w:val="00565767"/>
    <w:rsid w:val="00571F7E"/>
    <w:rsid w:val="00577E77"/>
    <w:rsid w:val="0059741C"/>
    <w:rsid w:val="00597D9E"/>
    <w:rsid w:val="005D1279"/>
    <w:rsid w:val="005D2BCE"/>
    <w:rsid w:val="005E132E"/>
    <w:rsid w:val="005E7A87"/>
    <w:rsid w:val="005F0D82"/>
    <w:rsid w:val="006232B2"/>
    <w:rsid w:val="00630FE1"/>
    <w:rsid w:val="006339B0"/>
    <w:rsid w:val="006346D1"/>
    <w:rsid w:val="00663393"/>
    <w:rsid w:val="00666B80"/>
    <w:rsid w:val="00670302"/>
    <w:rsid w:val="00675A2A"/>
    <w:rsid w:val="0067781B"/>
    <w:rsid w:val="006B5FBC"/>
    <w:rsid w:val="006B7E50"/>
    <w:rsid w:val="006C12C7"/>
    <w:rsid w:val="006C3244"/>
    <w:rsid w:val="006C5795"/>
    <w:rsid w:val="006C5A54"/>
    <w:rsid w:val="006E516A"/>
    <w:rsid w:val="006E5BF9"/>
    <w:rsid w:val="006F12A1"/>
    <w:rsid w:val="006F1DF5"/>
    <w:rsid w:val="006F226E"/>
    <w:rsid w:val="006F5B4E"/>
    <w:rsid w:val="00704225"/>
    <w:rsid w:val="00716886"/>
    <w:rsid w:val="00717BB4"/>
    <w:rsid w:val="00717D96"/>
    <w:rsid w:val="00725FA8"/>
    <w:rsid w:val="0073393A"/>
    <w:rsid w:val="007365BE"/>
    <w:rsid w:val="00736936"/>
    <w:rsid w:val="0074505E"/>
    <w:rsid w:val="00746CAF"/>
    <w:rsid w:val="00747F45"/>
    <w:rsid w:val="007511BA"/>
    <w:rsid w:val="007521AE"/>
    <w:rsid w:val="00776C87"/>
    <w:rsid w:val="00780FF0"/>
    <w:rsid w:val="007902DB"/>
    <w:rsid w:val="007923B8"/>
    <w:rsid w:val="0079522A"/>
    <w:rsid w:val="0079554D"/>
    <w:rsid w:val="007967E1"/>
    <w:rsid w:val="007A3467"/>
    <w:rsid w:val="007A450C"/>
    <w:rsid w:val="007A4DFF"/>
    <w:rsid w:val="007C7181"/>
    <w:rsid w:val="007D5836"/>
    <w:rsid w:val="007D5A22"/>
    <w:rsid w:val="007D7B73"/>
    <w:rsid w:val="007E2527"/>
    <w:rsid w:val="007E43E7"/>
    <w:rsid w:val="007F4134"/>
    <w:rsid w:val="007F434E"/>
    <w:rsid w:val="007F4B75"/>
    <w:rsid w:val="007F4F6F"/>
    <w:rsid w:val="00821265"/>
    <w:rsid w:val="008230AD"/>
    <w:rsid w:val="008234A5"/>
    <w:rsid w:val="008277E5"/>
    <w:rsid w:val="008308E5"/>
    <w:rsid w:val="008326A6"/>
    <w:rsid w:val="00832B8D"/>
    <w:rsid w:val="0083565D"/>
    <w:rsid w:val="008412C2"/>
    <w:rsid w:val="008435CE"/>
    <w:rsid w:val="00865BCA"/>
    <w:rsid w:val="00876832"/>
    <w:rsid w:val="00884A01"/>
    <w:rsid w:val="00891E7C"/>
    <w:rsid w:val="00895A5C"/>
    <w:rsid w:val="00895EC7"/>
    <w:rsid w:val="008A6346"/>
    <w:rsid w:val="008B0BE3"/>
    <w:rsid w:val="008B6E4E"/>
    <w:rsid w:val="008D3E33"/>
    <w:rsid w:val="008D414B"/>
    <w:rsid w:val="008E3AF4"/>
    <w:rsid w:val="008E4228"/>
    <w:rsid w:val="008E45AF"/>
    <w:rsid w:val="008F1716"/>
    <w:rsid w:val="008F3D88"/>
    <w:rsid w:val="008F565E"/>
    <w:rsid w:val="00904057"/>
    <w:rsid w:val="00915EEC"/>
    <w:rsid w:val="00924442"/>
    <w:rsid w:val="009312CB"/>
    <w:rsid w:val="00933117"/>
    <w:rsid w:val="00933738"/>
    <w:rsid w:val="009368C3"/>
    <w:rsid w:val="009427B7"/>
    <w:rsid w:val="009632CC"/>
    <w:rsid w:val="009643A8"/>
    <w:rsid w:val="009659BB"/>
    <w:rsid w:val="00981CCC"/>
    <w:rsid w:val="009830DA"/>
    <w:rsid w:val="009907C0"/>
    <w:rsid w:val="00990955"/>
    <w:rsid w:val="00992FE2"/>
    <w:rsid w:val="009A0977"/>
    <w:rsid w:val="009B03CE"/>
    <w:rsid w:val="009B7F87"/>
    <w:rsid w:val="009C6319"/>
    <w:rsid w:val="009C6E0B"/>
    <w:rsid w:val="009C76F7"/>
    <w:rsid w:val="009C7887"/>
    <w:rsid w:val="009E028E"/>
    <w:rsid w:val="009E2B5C"/>
    <w:rsid w:val="009F3927"/>
    <w:rsid w:val="009F5C0B"/>
    <w:rsid w:val="00A02D36"/>
    <w:rsid w:val="00A03970"/>
    <w:rsid w:val="00A12AD1"/>
    <w:rsid w:val="00A150EC"/>
    <w:rsid w:val="00A263FE"/>
    <w:rsid w:val="00A31B97"/>
    <w:rsid w:val="00A32720"/>
    <w:rsid w:val="00A34D60"/>
    <w:rsid w:val="00A42955"/>
    <w:rsid w:val="00A44B51"/>
    <w:rsid w:val="00A53786"/>
    <w:rsid w:val="00A57A32"/>
    <w:rsid w:val="00A601F9"/>
    <w:rsid w:val="00A80714"/>
    <w:rsid w:val="00A84612"/>
    <w:rsid w:val="00A85C53"/>
    <w:rsid w:val="00A94AAF"/>
    <w:rsid w:val="00A96393"/>
    <w:rsid w:val="00AA5077"/>
    <w:rsid w:val="00AB7365"/>
    <w:rsid w:val="00AC1731"/>
    <w:rsid w:val="00AD0964"/>
    <w:rsid w:val="00AD0A12"/>
    <w:rsid w:val="00AD4705"/>
    <w:rsid w:val="00AD4B7F"/>
    <w:rsid w:val="00AD703B"/>
    <w:rsid w:val="00AE428C"/>
    <w:rsid w:val="00AF2000"/>
    <w:rsid w:val="00AF47F3"/>
    <w:rsid w:val="00AF747D"/>
    <w:rsid w:val="00B02D71"/>
    <w:rsid w:val="00B0529F"/>
    <w:rsid w:val="00B058A6"/>
    <w:rsid w:val="00B108AA"/>
    <w:rsid w:val="00B109CB"/>
    <w:rsid w:val="00B32B33"/>
    <w:rsid w:val="00B37D67"/>
    <w:rsid w:val="00B530BE"/>
    <w:rsid w:val="00B54517"/>
    <w:rsid w:val="00B72CEA"/>
    <w:rsid w:val="00B74998"/>
    <w:rsid w:val="00B74D7A"/>
    <w:rsid w:val="00B7618E"/>
    <w:rsid w:val="00B84DF2"/>
    <w:rsid w:val="00BA3A46"/>
    <w:rsid w:val="00BA56F1"/>
    <w:rsid w:val="00BB1BB2"/>
    <w:rsid w:val="00BB1CF2"/>
    <w:rsid w:val="00BB618D"/>
    <w:rsid w:val="00BB6C33"/>
    <w:rsid w:val="00BC19B6"/>
    <w:rsid w:val="00BC44DD"/>
    <w:rsid w:val="00BD0637"/>
    <w:rsid w:val="00BD0BDB"/>
    <w:rsid w:val="00BD18A8"/>
    <w:rsid w:val="00BD3336"/>
    <w:rsid w:val="00BD36A4"/>
    <w:rsid w:val="00BE0221"/>
    <w:rsid w:val="00BE5E77"/>
    <w:rsid w:val="00BE6C81"/>
    <w:rsid w:val="00C00DB1"/>
    <w:rsid w:val="00C06A6B"/>
    <w:rsid w:val="00C24194"/>
    <w:rsid w:val="00C26672"/>
    <w:rsid w:val="00C35811"/>
    <w:rsid w:val="00C377ED"/>
    <w:rsid w:val="00C6156E"/>
    <w:rsid w:val="00C64A0B"/>
    <w:rsid w:val="00C65E6B"/>
    <w:rsid w:val="00C67610"/>
    <w:rsid w:val="00C73869"/>
    <w:rsid w:val="00C74644"/>
    <w:rsid w:val="00C93282"/>
    <w:rsid w:val="00C97ED8"/>
    <w:rsid w:val="00CA220B"/>
    <w:rsid w:val="00CC0785"/>
    <w:rsid w:val="00CC55A8"/>
    <w:rsid w:val="00CE008D"/>
    <w:rsid w:val="00CE71E3"/>
    <w:rsid w:val="00CF76EF"/>
    <w:rsid w:val="00D029D0"/>
    <w:rsid w:val="00D14F30"/>
    <w:rsid w:val="00D23614"/>
    <w:rsid w:val="00D26456"/>
    <w:rsid w:val="00D43547"/>
    <w:rsid w:val="00D45D7C"/>
    <w:rsid w:val="00D4678F"/>
    <w:rsid w:val="00D51E7E"/>
    <w:rsid w:val="00D552E3"/>
    <w:rsid w:val="00D601A5"/>
    <w:rsid w:val="00D72FD1"/>
    <w:rsid w:val="00D74FD7"/>
    <w:rsid w:val="00D8321F"/>
    <w:rsid w:val="00D93FD4"/>
    <w:rsid w:val="00D96645"/>
    <w:rsid w:val="00DA5399"/>
    <w:rsid w:val="00DB2511"/>
    <w:rsid w:val="00DC207F"/>
    <w:rsid w:val="00DC38DB"/>
    <w:rsid w:val="00DC65B5"/>
    <w:rsid w:val="00DC7499"/>
    <w:rsid w:val="00DD0CC2"/>
    <w:rsid w:val="00DD3814"/>
    <w:rsid w:val="00DE2F37"/>
    <w:rsid w:val="00DF4B45"/>
    <w:rsid w:val="00E07D51"/>
    <w:rsid w:val="00E15BD0"/>
    <w:rsid w:val="00E205E3"/>
    <w:rsid w:val="00E23684"/>
    <w:rsid w:val="00E31334"/>
    <w:rsid w:val="00E35043"/>
    <w:rsid w:val="00E36361"/>
    <w:rsid w:val="00E40831"/>
    <w:rsid w:val="00E42148"/>
    <w:rsid w:val="00E45BAB"/>
    <w:rsid w:val="00E572BE"/>
    <w:rsid w:val="00E62E5C"/>
    <w:rsid w:val="00E63B19"/>
    <w:rsid w:val="00E66DA8"/>
    <w:rsid w:val="00E7234D"/>
    <w:rsid w:val="00E724D9"/>
    <w:rsid w:val="00E72903"/>
    <w:rsid w:val="00E807A6"/>
    <w:rsid w:val="00E97047"/>
    <w:rsid w:val="00EA37DF"/>
    <w:rsid w:val="00EF6158"/>
    <w:rsid w:val="00EF70B5"/>
    <w:rsid w:val="00F01035"/>
    <w:rsid w:val="00F1391C"/>
    <w:rsid w:val="00F20DB9"/>
    <w:rsid w:val="00F24AB4"/>
    <w:rsid w:val="00F26237"/>
    <w:rsid w:val="00F26D8C"/>
    <w:rsid w:val="00F32FE3"/>
    <w:rsid w:val="00F40249"/>
    <w:rsid w:val="00F5308D"/>
    <w:rsid w:val="00F705DF"/>
    <w:rsid w:val="00F706C0"/>
    <w:rsid w:val="00F72BF3"/>
    <w:rsid w:val="00F7571F"/>
    <w:rsid w:val="00F75CAC"/>
    <w:rsid w:val="00F803BC"/>
    <w:rsid w:val="00F867FE"/>
    <w:rsid w:val="00F914AD"/>
    <w:rsid w:val="00F95DCD"/>
    <w:rsid w:val="00F967F2"/>
    <w:rsid w:val="00FA4726"/>
    <w:rsid w:val="00FA5C1F"/>
    <w:rsid w:val="00FB1A7A"/>
    <w:rsid w:val="00FB4B95"/>
    <w:rsid w:val="00FB7851"/>
    <w:rsid w:val="00FC6C23"/>
    <w:rsid w:val="00FD0FBF"/>
    <w:rsid w:val="00FD1449"/>
    <w:rsid w:val="00FD2B18"/>
    <w:rsid w:val="00FD5D00"/>
    <w:rsid w:val="00FE2850"/>
    <w:rsid w:val="00FE72A0"/>
    <w:rsid w:val="00FF6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51F4010"/>
  <w15:docId w15:val="{A9F24E7C-ABF2-44D0-BC47-B21C8D9F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13F8"/>
    <w:pPr>
      <w:spacing w:after="240"/>
    </w:pPr>
    <w:rPr>
      <w:rFonts w:ascii="Arial" w:hAnsi="Arial" w:cs="Times New Roman (Textkörper CS)"/>
      <w:color w:val="000000" w:themeColor="text1"/>
      <w:sz w:val="18"/>
    </w:rPr>
  </w:style>
  <w:style w:type="paragraph" w:styleId="berschrift1">
    <w:name w:val="heading 1"/>
    <w:basedOn w:val="Standard"/>
    <w:next w:val="Standard"/>
    <w:link w:val="berschrift1Zchn"/>
    <w:uiPriority w:val="9"/>
    <w:rsid w:val="002A7B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rsid w:val="002A7B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2A7B79"/>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rsid w:val="00F75CAC"/>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rsid w:val="00670302"/>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rsid w:val="00DD381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pyHeadline1stLevelZchn">
    <w:name w:val="Copy | Headline 1st Level Zchn"/>
    <w:basedOn w:val="Absatz-Standardschriftart"/>
    <w:link w:val="CopyHeadline1stLevel"/>
    <w:rsid w:val="009907C0"/>
    <w:rPr>
      <w:rFonts w:ascii="Arial" w:hAnsi="Arial"/>
      <w:color w:val="000000" w:themeColor="text1"/>
      <w:sz w:val="72"/>
    </w:rPr>
  </w:style>
  <w:style w:type="paragraph" w:customStyle="1" w:styleId="IndexDate">
    <w:name w:val="Index | Date"/>
    <w:qFormat/>
    <w:rsid w:val="009907C0"/>
    <w:pPr>
      <w:spacing w:after="240"/>
      <w:ind w:right="2551"/>
    </w:pPr>
    <w:rPr>
      <w:rFonts w:ascii="Arial" w:hAnsi="Arial" w:cs="Times New Roman (Textkörper CS)"/>
      <w:color w:val="000000" w:themeColor="text1"/>
      <w:sz w:val="18"/>
    </w:rPr>
  </w:style>
  <w:style w:type="paragraph" w:styleId="Index1">
    <w:name w:val="index 1"/>
    <w:basedOn w:val="Standard"/>
    <w:next w:val="Standard"/>
    <w:autoRedefine/>
    <w:uiPriority w:val="99"/>
    <w:semiHidden/>
    <w:unhideWhenUsed/>
    <w:rsid w:val="002A13F8"/>
    <w:pPr>
      <w:spacing w:after="0"/>
      <w:ind w:left="180" w:hanging="180"/>
    </w:pPr>
  </w:style>
  <w:style w:type="paragraph" w:customStyle="1" w:styleId="IndexSperrvermerk">
    <w:name w:val="Index | Sperrvermerk"/>
    <w:qFormat/>
    <w:rsid w:val="00B530BE"/>
    <w:pPr>
      <w:pBdr>
        <w:top w:val="single" w:sz="4" w:space="4" w:color="BC1E3E"/>
        <w:left w:val="single" w:sz="4" w:space="4" w:color="BC1E3E"/>
        <w:bottom w:val="single" w:sz="4" w:space="4" w:color="BC1E3E"/>
        <w:right w:val="single" w:sz="4" w:space="4" w:color="BC1E3E"/>
      </w:pBdr>
      <w:spacing w:line="320" w:lineRule="atLeast"/>
      <w:ind w:left="113" w:right="2438"/>
    </w:pPr>
    <w:rPr>
      <w:rFonts w:ascii="Arial" w:hAnsi="Arial" w:cs="Times New Roman (Textkörper CS)"/>
      <w:color w:val="BC1E3E"/>
      <w:sz w:val="22"/>
    </w:rPr>
  </w:style>
  <w:style w:type="character" w:styleId="Seitenzahl">
    <w:name w:val="page number"/>
    <w:basedOn w:val="Absatz-Standardschriftart"/>
    <w:uiPriority w:val="99"/>
    <w:semiHidden/>
    <w:unhideWhenUsed/>
    <w:rsid w:val="00070CBB"/>
  </w:style>
  <w:style w:type="paragraph" w:customStyle="1" w:styleId="CopyHeadline1stLevel">
    <w:name w:val="Copy | Headline 1st Level"/>
    <w:link w:val="CopyHeadline1stLevelZchn"/>
    <w:qFormat/>
    <w:rsid w:val="009907C0"/>
    <w:pPr>
      <w:tabs>
        <w:tab w:val="center" w:pos="4536"/>
        <w:tab w:val="right" w:pos="9072"/>
      </w:tabs>
      <w:spacing w:before="120"/>
      <w:ind w:right="2268"/>
    </w:pPr>
    <w:rPr>
      <w:rFonts w:ascii="Arial" w:hAnsi="Arial"/>
      <w:color w:val="000000" w:themeColor="text1"/>
      <w:sz w:val="72"/>
    </w:rPr>
  </w:style>
  <w:style w:type="character" w:customStyle="1" w:styleId="berschrift2Zchn">
    <w:name w:val="Überschrift 2 Zchn"/>
    <w:basedOn w:val="Absatz-Standardschriftart"/>
    <w:link w:val="berschrift2"/>
    <w:uiPriority w:val="9"/>
    <w:rsid w:val="002A7B79"/>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2A7B79"/>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2A7B79"/>
    <w:rPr>
      <w:rFonts w:asciiTheme="majorHAnsi" w:eastAsiaTheme="majorEastAsia" w:hAnsiTheme="majorHAnsi" w:cstheme="majorBidi"/>
      <w:color w:val="1F3763" w:themeColor="accent1" w:themeShade="7F"/>
    </w:rPr>
  </w:style>
  <w:style w:type="character" w:customStyle="1" w:styleId="NichtaufgelsteErwhnung1">
    <w:name w:val="Nicht aufgelöste Erwähnung1"/>
    <w:basedOn w:val="Absatz-Standardschriftart"/>
    <w:uiPriority w:val="99"/>
    <w:semiHidden/>
    <w:unhideWhenUsed/>
    <w:rsid w:val="008326A6"/>
    <w:rPr>
      <w:color w:val="605E5C"/>
      <w:shd w:val="clear" w:color="auto" w:fill="E1DFDD"/>
    </w:rPr>
  </w:style>
  <w:style w:type="character" w:styleId="BesuchterLink">
    <w:name w:val="FollowedHyperlink"/>
    <w:basedOn w:val="Absatz-Standardschriftart"/>
    <w:uiPriority w:val="99"/>
    <w:semiHidden/>
    <w:unhideWhenUsed/>
    <w:rsid w:val="0008601C"/>
    <w:rPr>
      <w:color w:val="954F72" w:themeColor="followedHyperlink"/>
      <w:u w:val="single"/>
    </w:rPr>
  </w:style>
  <w:style w:type="character" w:customStyle="1" w:styleId="berschrift4Zchn">
    <w:name w:val="Überschrift 4 Zchn"/>
    <w:basedOn w:val="Absatz-Standardschriftart"/>
    <w:link w:val="berschrift4"/>
    <w:uiPriority w:val="9"/>
    <w:rsid w:val="00F75CAC"/>
    <w:rPr>
      <w:rFonts w:asciiTheme="majorHAnsi" w:eastAsiaTheme="majorEastAsia" w:hAnsiTheme="majorHAnsi" w:cstheme="majorBidi"/>
      <w:i/>
      <w:iCs/>
      <w:color w:val="2F5496" w:themeColor="accent1" w:themeShade="BF"/>
    </w:rPr>
  </w:style>
  <w:style w:type="paragraph" w:customStyle="1" w:styleId="CopyHeadline2ndLevel">
    <w:name w:val="Copy | Headline 2nd Level"/>
    <w:basedOn w:val="Standard"/>
    <w:qFormat/>
    <w:rsid w:val="009907C0"/>
    <w:pPr>
      <w:spacing w:before="360" w:after="360"/>
      <w:ind w:right="2551"/>
    </w:pPr>
    <w:rPr>
      <w:sz w:val="36"/>
      <w:szCs w:val="36"/>
    </w:rPr>
  </w:style>
  <w:style w:type="paragraph" w:customStyle="1" w:styleId="CopyBulletpoint">
    <w:name w:val="Copy | Bulletpoint"/>
    <w:qFormat/>
    <w:rsid w:val="00B37D67"/>
    <w:pPr>
      <w:numPr>
        <w:numId w:val="26"/>
      </w:numPr>
      <w:spacing w:after="360" w:line="320" w:lineRule="atLeast"/>
      <w:ind w:right="2268"/>
      <w:contextualSpacing/>
    </w:pPr>
    <w:rPr>
      <w:rFonts w:ascii="Arial" w:hAnsi="Arial" w:cs="Arial"/>
      <w:color w:val="000000" w:themeColor="text1"/>
      <w:sz w:val="22"/>
      <w:szCs w:val="22"/>
    </w:rPr>
  </w:style>
  <w:style w:type="paragraph" w:customStyle="1" w:styleId="CopyTeaser">
    <w:name w:val="Copy | Teaser"/>
    <w:basedOn w:val="CopyNormal"/>
    <w:autoRedefine/>
    <w:qFormat/>
    <w:rsid w:val="00D14F30"/>
    <w:rPr>
      <w:b/>
    </w:rPr>
  </w:style>
  <w:style w:type="paragraph" w:customStyle="1" w:styleId="CopyNormal">
    <w:name w:val="Copy | Normal"/>
    <w:qFormat/>
    <w:rsid w:val="009907C0"/>
    <w:pPr>
      <w:spacing w:after="360" w:line="320" w:lineRule="atLeast"/>
      <w:ind w:right="2268"/>
    </w:pPr>
    <w:rPr>
      <w:rFonts w:ascii="Arial" w:hAnsi="Arial" w:cs="Times New Roman (Textkörper CS)"/>
      <w:color w:val="000000" w:themeColor="text1"/>
      <w:sz w:val="22"/>
    </w:rPr>
  </w:style>
  <w:style w:type="paragraph" w:customStyle="1" w:styleId="CopyCopyheadline">
    <w:name w:val="Copy | Copyheadline"/>
    <w:basedOn w:val="CopyNormal"/>
    <w:qFormat/>
    <w:rsid w:val="009907C0"/>
    <w:pPr>
      <w:spacing w:after="0" w:line="250" w:lineRule="atLeast"/>
    </w:pPr>
    <w:rPr>
      <w:b/>
    </w:rPr>
  </w:style>
  <w:style w:type="paragraph" w:customStyle="1" w:styleId="CopyZeichen">
    <w:name w:val="Copy | Zeichen"/>
    <w:basedOn w:val="CopyNormal"/>
    <w:qFormat/>
    <w:rsid w:val="009907C0"/>
    <w:pPr>
      <w:ind w:left="2268" w:right="0"/>
      <w:mirrorIndents/>
      <w:jc w:val="right"/>
    </w:pPr>
    <w:rPr>
      <w:lang w:val="en-US"/>
    </w:rPr>
  </w:style>
  <w:style w:type="paragraph" w:customStyle="1" w:styleId="CopyPaginierung">
    <w:name w:val="Copy | Paginierung"/>
    <w:qFormat/>
    <w:rsid w:val="00B37D67"/>
    <w:pPr>
      <w:jc w:val="right"/>
    </w:pPr>
    <w:rPr>
      <w:rFonts w:ascii="Arial" w:hAnsi="Arial" w:cs="Times New Roman (Textkörper CS)"/>
      <w:color w:val="000000" w:themeColor="text1"/>
      <w:sz w:val="18"/>
    </w:rPr>
  </w:style>
  <w:style w:type="character" w:customStyle="1" w:styleId="berschrift5Zchn">
    <w:name w:val="Überschrift 5 Zchn"/>
    <w:basedOn w:val="Absatz-Standardschriftart"/>
    <w:link w:val="berschrift5"/>
    <w:uiPriority w:val="9"/>
    <w:rsid w:val="00670302"/>
    <w:rPr>
      <w:rFonts w:asciiTheme="majorHAnsi" w:eastAsiaTheme="majorEastAsia" w:hAnsiTheme="majorHAnsi" w:cstheme="majorBidi"/>
      <w:color w:val="2F5496" w:themeColor="accent1" w:themeShade="BF"/>
      <w:sz w:val="18"/>
    </w:rPr>
  </w:style>
  <w:style w:type="paragraph" w:customStyle="1" w:styleId="CopyTrennlinie">
    <w:name w:val="Copy | Trennlinie"/>
    <w:qFormat/>
    <w:rsid w:val="00B530BE"/>
    <w:pPr>
      <w:pBdr>
        <w:bottom w:val="single" w:sz="4" w:space="2" w:color="auto"/>
      </w:pBdr>
      <w:spacing w:after="240" w:line="120" w:lineRule="atLeast"/>
      <w:ind w:right="2268"/>
    </w:pPr>
    <w:rPr>
      <w:rFonts w:ascii="Arial" w:hAnsi="Arial" w:cs="Times New Roman (Textkörper CS)"/>
      <w:noProof/>
      <w:color w:val="000000" w:themeColor="text1"/>
      <w:sz w:val="2"/>
    </w:rPr>
  </w:style>
  <w:style w:type="character" w:customStyle="1" w:styleId="berschrift6Zchn">
    <w:name w:val="Überschrift 6 Zchn"/>
    <w:basedOn w:val="Absatz-Standardschriftart"/>
    <w:link w:val="berschrift6"/>
    <w:uiPriority w:val="9"/>
    <w:semiHidden/>
    <w:rsid w:val="00DD3814"/>
    <w:rPr>
      <w:rFonts w:asciiTheme="majorHAnsi" w:eastAsiaTheme="majorEastAsia" w:hAnsiTheme="majorHAnsi" w:cstheme="majorBidi"/>
      <w:color w:val="1F3763" w:themeColor="accent1" w:themeShade="7F"/>
      <w:sz w:val="18"/>
    </w:rPr>
  </w:style>
  <w:style w:type="character" w:styleId="Hyperlink">
    <w:name w:val="Hyperlink"/>
    <w:basedOn w:val="Absatz-Standardschriftart"/>
    <w:uiPriority w:val="99"/>
    <w:unhideWhenUsed/>
    <w:rsid w:val="00CE71E3"/>
    <w:rPr>
      <w:color w:val="0563C1" w:themeColor="hyperlink"/>
      <w:u w:val="single"/>
    </w:rPr>
  </w:style>
  <w:style w:type="character" w:customStyle="1" w:styleId="NichtaufgelsteErwhnung2">
    <w:name w:val="Nicht aufgelöste Erwähnung2"/>
    <w:basedOn w:val="Absatz-Standardschriftart"/>
    <w:uiPriority w:val="99"/>
    <w:rsid w:val="00CE71E3"/>
    <w:rPr>
      <w:color w:val="605E5C"/>
      <w:shd w:val="clear" w:color="auto" w:fill="E1DFDD"/>
    </w:rPr>
  </w:style>
  <w:style w:type="paragraph" w:customStyle="1" w:styleId="Bildunterschrift">
    <w:name w:val="Bildunterschrift"/>
    <w:basedOn w:val="Standard"/>
    <w:autoRedefine/>
    <w:qFormat/>
    <w:rsid w:val="00F26D8C"/>
    <w:rPr>
      <w:sz w:val="13"/>
      <w:szCs w:val="13"/>
    </w:rPr>
  </w:style>
  <w:style w:type="character" w:styleId="Kommentarzeichen">
    <w:name w:val="annotation reference"/>
    <w:basedOn w:val="Absatz-Standardschriftart"/>
    <w:uiPriority w:val="99"/>
    <w:semiHidden/>
    <w:unhideWhenUsed/>
    <w:rsid w:val="00F803BC"/>
    <w:rPr>
      <w:sz w:val="16"/>
      <w:szCs w:val="16"/>
    </w:rPr>
  </w:style>
  <w:style w:type="paragraph" w:styleId="Kommentartext">
    <w:name w:val="annotation text"/>
    <w:basedOn w:val="Standard"/>
    <w:link w:val="KommentartextZchn"/>
    <w:uiPriority w:val="99"/>
    <w:unhideWhenUsed/>
    <w:rsid w:val="00F803BC"/>
    <w:rPr>
      <w:sz w:val="20"/>
      <w:szCs w:val="20"/>
    </w:rPr>
  </w:style>
  <w:style w:type="character" w:customStyle="1" w:styleId="KommentartextZchn">
    <w:name w:val="Kommentartext Zchn"/>
    <w:basedOn w:val="Absatz-Standardschriftart"/>
    <w:link w:val="Kommentartext"/>
    <w:uiPriority w:val="99"/>
    <w:rsid w:val="00F803BC"/>
    <w:rPr>
      <w:rFonts w:ascii="Arial" w:hAnsi="Arial" w:cs="Times New Roman (Textkörper CS)"/>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803BC"/>
    <w:rPr>
      <w:b/>
      <w:bCs/>
    </w:rPr>
  </w:style>
  <w:style w:type="character" w:customStyle="1" w:styleId="KommentarthemaZchn">
    <w:name w:val="Kommentarthema Zchn"/>
    <w:basedOn w:val="KommentartextZchn"/>
    <w:link w:val="Kommentarthema"/>
    <w:uiPriority w:val="99"/>
    <w:semiHidden/>
    <w:rsid w:val="00F803BC"/>
    <w:rPr>
      <w:rFonts w:ascii="Arial" w:hAnsi="Arial" w:cs="Times New Roman (Textkörper CS)"/>
      <w:b/>
      <w:bCs/>
      <w:color w:val="000000" w:themeColor="text1"/>
      <w:sz w:val="20"/>
      <w:szCs w:val="20"/>
    </w:rPr>
  </w:style>
  <w:style w:type="paragraph" w:styleId="Sprechblasentext">
    <w:name w:val="Balloon Text"/>
    <w:basedOn w:val="Standard"/>
    <w:link w:val="SprechblasentextZchn"/>
    <w:uiPriority w:val="99"/>
    <w:semiHidden/>
    <w:unhideWhenUsed/>
    <w:rsid w:val="00F803B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3BC"/>
    <w:rPr>
      <w:rFonts w:ascii="Tahoma" w:hAnsi="Tahoma" w:cs="Tahoma"/>
      <w:color w:val="000000" w:themeColor="text1"/>
      <w:sz w:val="16"/>
      <w:szCs w:val="16"/>
    </w:rPr>
  </w:style>
  <w:style w:type="paragraph" w:customStyle="1" w:styleId="Default">
    <w:name w:val="Default"/>
    <w:rsid w:val="00D552E3"/>
    <w:pPr>
      <w:autoSpaceDE w:val="0"/>
      <w:autoSpaceDN w:val="0"/>
      <w:adjustRightInd w:val="0"/>
    </w:pPr>
    <w:rPr>
      <w:rFonts w:ascii="Arial" w:hAnsi="Arial" w:cs="Arial"/>
      <w:color w:val="000000"/>
    </w:rPr>
  </w:style>
  <w:style w:type="paragraph" w:styleId="Listenabsatz">
    <w:name w:val="List Paragraph"/>
    <w:basedOn w:val="Standard"/>
    <w:uiPriority w:val="34"/>
    <w:rsid w:val="00C93282"/>
    <w:pPr>
      <w:ind w:left="720"/>
      <w:contextualSpacing/>
    </w:pPr>
  </w:style>
  <w:style w:type="paragraph" w:styleId="berarbeitung">
    <w:name w:val="Revision"/>
    <w:hidden/>
    <w:uiPriority w:val="99"/>
    <w:semiHidden/>
    <w:rsid w:val="007F4F6F"/>
    <w:rPr>
      <w:rFonts w:ascii="Arial" w:hAnsi="Arial" w:cs="Times New Roman (Textkörper CS)"/>
      <w:color w:val="000000" w:themeColor="text1"/>
      <w:sz w:val="18"/>
    </w:rPr>
  </w:style>
  <w:style w:type="character" w:customStyle="1" w:styleId="NichtaufgelsteErwhnung3">
    <w:name w:val="Nicht aufgelöste Erwähnung3"/>
    <w:basedOn w:val="Absatz-Standardschriftart"/>
    <w:uiPriority w:val="99"/>
    <w:semiHidden/>
    <w:unhideWhenUsed/>
    <w:rsid w:val="006C5795"/>
    <w:rPr>
      <w:color w:val="605E5C"/>
      <w:shd w:val="clear" w:color="auto" w:fill="E1DFDD"/>
    </w:rPr>
  </w:style>
  <w:style w:type="paragraph" w:styleId="StandardWeb">
    <w:name w:val="Normal (Web)"/>
    <w:basedOn w:val="Standard"/>
    <w:uiPriority w:val="99"/>
    <w:semiHidden/>
    <w:unhideWhenUsed/>
    <w:rsid w:val="001D3520"/>
    <w:pPr>
      <w:spacing w:before="100" w:beforeAutospacing="1" w:after="100" w:afterAutospacing="1"/>
    </w:pPr>
    <w:rPr>
      <w:rFonts w:ascii="Times New Roman" w:eastAsia="Times New Roman" w:hAnsi="Times New Roman" w:cs="Times New Roman"/>
      <w:color w:val="auto"/>
      <w:sz w:val="24"/>
      <w:lang w:eastAsia="de-DE"/>
    </w:rPr>
  </w:style>
  <w:style w:type="character" w:styleId="Fett">
    <w:name w:val="Strong"/>
    <w:basedOn w:val="Absatz-Standardschriftart"/>
    <w:uiPriority w:val="22"/>
    <w:qFormat/>
    <w:rsid w:val="001D3520"/>
    <w:rPr>
      <w:b/>
      <w:bCs/>
    </w:rPr>
  </w:style>
  <w:style w:type="table" w:styleId="Tabellenraster">
    <w:name w:val="Table Grid"/>
    <w:basedOn w:val="NormaleTabelle"/>
    <w:uiPriority w:val="39"/>
    <w:rsid w:val="00344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10364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103649"/>
    <w:rPr>
      <w:rFonts w:ascii="Arial" w:hAnsi="Arial" w:cs="Times New Roman (Textkörper CS)"/>
      <w:color w:val="000000" w:themeColor="text1"/>
      <w:sz w:val="18"/>
    </w:rPr>
  </w:style>
  <w:style w:type="paragraph" w:styleId="Fuzeile">
    <w:name w:val="footer"/>
    <w:basedOn w:val="Standard"/>
    <w:link w:val="FuzeileZchn"/>
    <w:uiPriority w:val="99"/>
    <w:semiHidden/>
    <w:unhideWhenUsed/>
    <w:rsid w:val="00103649"/>
    <w:pPr>
      <w:tabs>
        <w:tab w:val="center" w:pos="4536"/>
        <w:tab w:val="right" w:pos="9072"/>
      </w:tabs>
      <w:spacing w:after="0"/>
    </w:pPr>
  </w:style>
  <w:style w:type="character" w:customStyle="1" w:styleId="FuzeileZchn">
    <w:name w:val="Fußzeile Zchn"/>
    <w:basedOn w:val="Absatz-Standardschriftart"/>
    <w:link w:val="Fuzeile"/>
    <w:uiPriority w:val="99"/>
    <w:semiHidden/>
    <w:rsid w:val="00103649"/>
    <w:rPr>
      <w:rFonts w:ascii="Arial" w:hAnsi="Arial" w:cs="Times New Roman (Textkörper CS)"/>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0888">
      <w:bodyDiv w:val="1"/>
      <w:marLeft w:val="0"/>
      <w:marRight w:val="0"/>
      <w:marTop w:val="0"/>
      <w:marBottom w:val="0"/>
      <w:divBdr>
        <w:top w:val="none" w:sz="0" w:space="0" w:color="auto"/>
        <w:left w:val="none" w:sz="0" w:space="0" w:color="auto"/>
        <w:bottom w:val="none" w:sz="0" w:space="0" w:color="auto"/>
        <w:right w:val="none" w:sz="0" w:space="0" w:color="auto"/>
      </w:divBdr>
    </w:div>
    <w:div w:id="138571303">
      <w:bodyDiv w:val="1"/>
      <w:marLeft w:val="0"/>
      <w:marRight w:val="0"/>
      <w:marTop w:val="0"/>
      <w:marBottom w:val="0"/>
      <w:divBdr>
        <w:top w:val="none" w:sz="0" w:space="0" w:color="auto"/>
        <w:left w:val="none" w:sz="0" w:space="0" w:color="auto"/>
        <w:bottom w:val="none" w:sz="0" w:space="0" w:color="auto"/>
        <w:right w:val="none" w:sz="0" w:space="0" w:color="auto"/>
      </w:divBdr>
    </w:div>
    <w:div w:id="365063803">
      <w:bodyDiv w:val="1"/>
      <w:marLeft w:val="0"/>
      <w:marRight w:val="0"/>
      <w:marTop w:val="0"/>
      <w:marBottom w:val="0"/>
      <w:divBdr>
        <w:top w:val="none" w:sz="0" w:space="0" w:color="auto"/>
        <w:left w:val="none" w:sz="0" w:space="0" w:color="auto"/>
        <w:bottom w:val="none" w:sz="0" w:space="0" w:color="auto"/>
        <w:right w:val="none" w:sz="0" w:space="0" w:color="auto"/>
      </w:divBdr>
    </w:div>
    <w:div w:id="395053845">
      <w:bodyDiv w:val="1"/>
      <w:marLeft w:val="0"/>
      <w:marRight w:val="0"/>
      <w:marTop w:val="0"/>
      <w:marBottom w:val="0"/>
      <w:divBdr>
        <w:top w:val="none" w:sz="0" w:space="0" w:color="auto"/>
        <w:left w:val="none" w:sz="0" w:space="0" w:color="auto"/>
        <w:bottom w:val="none" w:sz="0" w:space="0" w:color="auto"/>
        <w:right w:val="none" w:sz="0" w:space="0" w:color="auto"/>
      </w:divBdr>
    </w:div>
    <w:div w:id="490754368">
      <w:bodyDiv w:val="1"/>
      <w:marLeft w:val="0"/>
      <w:marRight w:val="0"/>
      <w:marTop w:val="0"/>
      <w:marBottom w:val="0"/>
      <w:divBdr>
        <w:top w:val="none" w:sz="0" w:space="0" w:color="auto"/>
        <w:left w:val="none" w:sz="0" w:space="0" w:color="auto"/>
        <w:bottom w:val="none" w:sz="0" w:space="0" w:color="auto"/>
        <w:right w:val="none" w:sz="0" w:space="0" w:color="auto"/>
      </w:divBdr>
    </w:div>
    <w:div w:id="512113144">
      <w:bodyDiv w:val="1"/>
      <w:marLeft w:val="0"/>
      <w:marRight w:val="0"/>
      <w:marTop w:val="0"/>
      <w:marBottom w:val="0"/>
      <w:divBdr>
        <w:top w:val="none" w:sz="0" w:space="0" w:color="auto"/>
        <w:left w:val="none" w:sz="0" w:space="0" w:color="auto"/>
        <w:bottom w:val="none" w:sz="0" w:space="0" w:color="auto"/>
        <w:right w:val="none" w:sz="0" w:space="0" w:color="auto"/>
      </w:divBdr>
    </w:div>
    <w:div w:id="661932352">
      <w:bodyDiv w:val="1"/>
      <w:marLeft w:val="0"/>
      <w:marRight w:val="0"/>
      <w:marTop w:val="0"/>
      <w:marBottom w:val="0"/>
      <w:divBdr>
        <w:top w:val="none" w:sz="0" w:space="0" w:color="auto"/>
        <w:left w:val="none" w:sz="0" w:space="0" w:color="auto"/>
        <w:bottom w:val="none" w:sz="0" w:space="0" w:color="auto"/>
        <w:right w:val="none" w:sz="0" w:space="0" w:color="auto"/>
      </w:divBdr>
    </w:div>
    <w:div w:id="999427236">
      <w:bodyDiv w:val="1"/>
      <w:marLeft w:val="0"/>
      <w:marRight w:val="0"/>
      <w:marTop w:val="0"/>
      <w:marBottom w:val="0"/>
      <w:divBdr>
        <w:top w:val="none" w:sz="0" w:space="0" w:color="auto"/>
        <w:left w:val="none" w:sz="0" w:space="0" w:color="auto"/>
        <w:bottom w:val="none" w:sz="0" w:space="0" w:color="auto"/>
        <w:right w:val="none" w:sz="0" w:space="0" w:color="auto"/>
      </w:divBdr>
    </w:div>
    <w:div w:id="1174733398">
      <w:bodyDiv w:val="1"/>
      <w:marLeft w:val="0"/>
      <w:marRight w:val="0"/>
      <w:marTop w:val="0"/>
      <w:marBottom w:val="0"/>
      <w:divBdr>
        <w:top w:val="none" w:sz="0" w:space="0" w:color="auto"/>
        <w:left w:val="none" w:sz="0" w:space="0" w:color="auto"/>
        <w:bottom w:val="none" w:sz="0" w:space="0" w:color="auto"/>
        <w:right w:val="none" w:sz="0" w:space="0" w:color="auto"/>
      </w:divBdr>
    </w:div>
    <w:div w:id="1301229926">
      <w:bodyDiv w:val="1"/>
      <w:marLeft w:val="0"/>
      <w:marRight w:val="0"/>
      <w:marTop w:val="0"/>
      <w:marBottom w:val="0"/>
      <w:divBdr>
        <w:top w:val="none" w:sz="0" w:space="0" w:color="auto"/>
        <w:left w:val="none" w:sz="0" w:space="0" w:color="auto"/>
        <w:bottom w:val="none" w:sz="0" w:space="0" w:color="auto"/>
        <w:right w:val="none" w:sz="0" w:space="0" w:color="auto"/>
      </w:divBdr>
    </w:div>
    <w:div w:id="1397976235">
      <w:bodyDiv w:val="1"/>
      <w:marLeft w:val="0"/>
      <w:marRight w:val="0"/>
      <w:marTop w:val="0"/>
      <w:marBottom w:val="0"/>
      <w:divBdr>
        <w:top w:val="none" w:sz="0" w:space="0" w:color="auto"/>
        <w:left w:val="none" w:sz="0" w:space="0" w:color="auto"/>
        <w:bottom w:val="none" w:sz="0" w:space="0" w:color="auto"/>
        <w:right w:val="none" w:sz="0" w:space="0" w:color="auto"/>
      </w:divBdr>
    </w:div>
    <w:div w:id="1440683356">
      <w:bodyDiv w:val="1"/>
      <w:marLeft w:val="0"/>
      <w:marRight w:val="0"/>
      <w:marTop w:val="0"/>
      <w:marBottom w:val="0"/>
      <w:divBdr>
        <w:top w:val="none" w:sz="0" w:space="0" w:color="auto"/>
        <w:left w:val="none" w:sz="0" w:space="0" w:color="auto"/>
        <w:bottom w:val="none" w:sz="0" w:space="0" w:color="auto"/>
        <w:right w:val="none" w:sz="0" w:space="0" w:color="auto"/>
      </w:divBdr>
    </w:div>
    <w:div w:id="2000574178">
      <w:bodyDiv w:val="1"/>
      <w:marLeft w:val="0"/>
      <w:marRight w:val="0"/>
      <w:marTop w:val="0"/>
      <w:marBottom w:val="0"/>
      <w:divBdr>
        <w:top w:val="none" w:sz="0" w:space="0" w:color="auto"/>
        <w:left w:val="none" w:sz="0" w:space="0" w:color="auto"/>
        <w:bottom w:val="none" w:sz="0" w:space="0" w:color="auto"/>
        <w:right w:val="none" w:sz="0" w:space="0" w:color="auto"/>
      </w:divBdr>
    </w:div>
    <w:div w:id="2041397215">
      <w:bodyDiv w:val="1"/>
      <w:marLeft w:val="0"/>
      <w:marRight w:val="0"/>
      <w:marTop w:val="0"/>
      <w:marBottom w:val="0"/>
      <w:divBdr>
        <w:top w:val="none" w:sz="0" w:space="0" w:color="auto"/>
        <w:left w:val="none" w:sz="0" w:space="0" w:color="auto"/>
        <w:bottom w:val="none" w:sz="0" w:space="0" w:color="auto"/>
        <w:right w:val="none" w:sz="0" w:space="0" w:color="auto"/>
      </w:divBdr>
    </w:div>
    <w:div w:id="21227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experience.mahle.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ingo.schnaitmann@mahle.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ax_SK xmlns="http://www.sax.eu/ML/sax_SK">
  <SKDropdown>
    <SKOption value="10" label="Öffentlich">
      <Stamp application="Powerpoint" layoutNr="3,4,5,6,7,8,9,10,11,12" left="17" bottom="9" width="127" height="19" skshapename="SK_CONF">
        <body style="width:1016px; height:152px; line-height:152px; vertical-align:center; margin:0;padding:0;background-color:#ffffff;">
          <p style="font-weight:bold;font-family:Arial;font-size:64px;color:#00205b;margin-left:235px;">public</p>
        </body>
      </Stamp>
      <Stamp application="Powerpoint" layoutNr="1" left="55" bottom="275" width="127" height="19" skshapename="SK_CONF">
        <body style="width:1016px; height:152px; line-height:152px; vertical-align:center; margin:0; padding:0; background-color:#00205b;">
          <p style="color:white; margin-left:0px; font-weight:bold; font-family:Arial; font-size:64px; text-transform:uppercase">public</p>
        </body>
      </Stamp>
      <Stamp application="Powerpoint" layoutNr="2" left="55" bottom="280" width="127" height="19" skshapename="SK_CONF">
        <body style="width:1016px; height:152px; line-height:152px; vertical-align:center; margin:0; padding:0; background-color:#00205b;">
          <p style="color:white; margin-left:0px; font-weight:bold; font-family:Arial; font-size:64px; text-transform:uppercase">public</p>
        </body>
      </Stamp>
      <Stamp application="Word" left="17" bottom="9" width="127" height="19" skshapename="SK_CONF">
        <body style="width:1016px; height:152px; line-height:152px; vertical-align:center; margin:0;padding:0;background-color:#ffffff;">
          <p style="font-weight:bold;font-family:Arial;font-size:64px;color:#00205b;margin-left:235px;">public</p>
        </body>
      </Stamp>
      <Stamp application="Excel" left="17" bottom="9" width="127" height="19" skshapename="SK_CONF">
        <body style="width:1016px; height:152px; line-height:152px; vertical-align:center; margin:0;padding:0;background-color:#ffffff;">
          <p style="font-weight:bold;font-family:Arial;font-size:64px;color:#00205b;margin-left:235px;">public</p>
        </body>
      </Stamp>
    </SKOption>
    <SKOption value="20" label="Intern">
      <Stamp application="Powerpoint" layoutNr="3,4,5,6,7,8,9,10,11,12" left="17" bottom="9" width="127" height="19" skshapename="SK_CONF">
        <body style="width:1016px; height:152px; line-height:152px; vertical-align:center; margin:0;padding:0;background-color:#ffffff;">
          <p style="color:#00205b;margin-left:235px;font-weight:bold;font-family:Arial;font-size:64px;">internal</p>
        </body>
      </Stamp>
      <Stamp application="Powerpoint" layoutNr="1" left="55" bottom="275" width="127" height="19" skshapename="SK_CONF">
        <body style="width:1016px; height:152px; line-height:152px; vertical-align:center; margin:0; padding:0; background-color:#00205b;">
          <p style="color:white; margin-left:0px; font-weight:bold; font-family:Arial; font-size:64px; text-transform:uppercase">internal</p>
        </body>
      </Stamp>
      <Stamp application="Powerpoint" layoutNr="2" left="55" bottom="280" width="127" height="19" skshapename="SK_CONF">
        <body style="width:1016px; height:152px; line-height:152px; vertical-align:center; margin:0; padding:0; background-color:#00205b;">
          <p style="color:white; margin-left:0px; font-weight:bold; font-family:Arial; font-size:64px; text-transform:uppercase">internal</p>
        </body>
      </Stamp>
      <Stamp application="Word" left="17" bottom="9" width="127" height="19" skshapename="SK_CONF">
        <body style="width:1016px; height:152px; line-height:152px; vertical-align:center; margin:0;padding:0;background-color:#ffffff;">
          <p style="color:#00205b;margin-left:235px;font-weight:bold;font-family:Arial;font-size:64px;">internal</p>
        </body>
      </Stamp>
      <Stamp application="Excel" left="17" bottom="9" width="127" height="19" skshapename="SK_CONF">
        <body style="width:1016px; height:152px; line-height:152px; vertical-align:center; margin:0;padding:0;background-color:#ffffff;">
          <p style="color:#00205b;margin-left:235px;font-weight:bold;font-family:Arial;font-size:64px;">internal</p>
        </body>
      </Stamp>
    </SKOption>
    <SKOption value="30" label="Vertraulich">
      <Stamp application="Powerpoint" layoutNr="3,4,5,6,7,8,9,10,11,12" left="35" bottom="0" width="68" height="22" skshapename="SK_CONF">
        <body style="width:544px; height:168px; margin:0;background-color:#ffffff;border-color:#00205b;border-width:8px;border-style:solid;border-bottom-style:none">
          <div style="font-weight:bold;font-family:Arial;font-size:64px;color:#00205b;margin-left:88px;margin-top:22px">confidential</div>
        </body>
      </Stamp>
      <Stamp application="Powerpoint" layoutNr="1" left="55" bottom="275" width="127" height="19" skshapename="SK_CONF">
        <body style="width:1016px; height:152px; line-height:152px; vertical-align:center; margin:0; padding:0; background-color:#00205b;">
          <p style="color:white; margin-left:0px; font-weight:bold; font-family:Arial; font-size:64px; text-transform:uppercase">confidential</p>
        </body>
      </Stamp>
      <Stamp application="Powerpoint" layoutNr="2" left="55" bottom="280" width="127" height="19" skshapename="SK_CONF">
        <body style="width:1016px; height:152px; line-height:152px; vertical-align:center; margin:0; padding:0; background-color:#00205b;">
          <p style="color:white; margin-left:0px; font-weight:bold; font-family:Arial; font-size:64px; text-transform:uppercase">confidential</p>
        </body>
      </Stamp>
      <Stamp application="Word" left="35" bottom="0" width="68" height="22" skshapename="SK_CONF">
        <body style="width:544px; height:168px; margin:0;background-color:#ffffff;border-color:#00205b;border-width:8px;border-style:solid;border-bottom-style:none">
          <div style="font-weight:bold;font-family:Arial;font-size:64px;color:#00205b;margin-left:88px;margin-top:22px">confidential</div>
        </body>
      </Stamp>
      <Stamp application="Excel" left="35" bottom="0" width="68" height="22" skshapename="SK_CONF">
        <body style="width:544px; height:168px; line-height:168px; vertical-align:center; margin:0;padding:0;background-color:#ffffff;border-color:#00205b;border-width:8px;border-style:solid">
          <div style="font-weight:bold;font-family:Arial;font-size:64px;color:#00205b;margin-left:88px;">confidential</div>
        </body>
      </Stamp>
    </SKOption>
    <SKOption value="80" label="Streng vertraulich">
      <Stamp application="Powerpoint" layoutNr="3,4,5,6,7,8,9,10,11,12" left="35" bottom="0" width="96" height="22" skshapename="SK_CONF">
        <body style="width:768px; height:168px; margin:0; background-color:#00205b;border-color:#00205b;border-width:8px;border-style:solid;border-bottom-style:none">
          <div style="color:white; text-align:center; font-weight:bold; font-family:Arial; font-size:64px;margin-top:22px">strictly confidential</div>
        </body>
      </Stamp>
      <Stamp application="Powerpoint" layoutNr="1" left="55" bottom="275" width="150" height="19" skshapename="SK_CONF">
        <body style="width:1200px; height:152px; line-height:152px; vertical-align:center; margin:0; padding:0; background-color:#00205b;">
          <p style="color:white; margin-left:0px; font-weight:bold; font-family:Arial; font-size:64px; text-transform:uppercase">strictly confidential</p>
        </body>
      </Stamp>
      <Stamp application="Powerpoint" layoutNr="2" left="55" bottom="280" width="150" height="19" skshapename="SK_CONF">
        <body style="width:1200px; height:152px; line-height:152px; vertical-align:center; margin:0; padding:0; background-color:#00205b;">
          <p style="color:white; margin-left:0px; font-weight:bold; font-family:Arial; font-size:64px; text-transform:uppercase">strictly confidential</p>
        </body>
      </Stamp>
      <Stamp application="Word" left="35" bottom="0" width="96" height="22" skshapename="SK_CONF">
        <body style="width:768px; height:168px; margin:0; background-color:#00205b;padding:0">
          <div style="color:white; margin-left:88px; font-weight:bold; font-family:Arial; font-size:64px;margin-top:22px">strictly confidential</div>
        </body>
      </Stamp>
      <Stamp application="Excel" left="35" bottom="0" width="96" height="22" skshapename="SK_CONF">
        <body style="width:768px; height:168px; line-height:168px; vertical-align:center; margin:0; padding:0; background-color:#00205b;">
          <div style="color:white; margin-left:88px; font-weight:bold; font-family:Arial; font-size:64px;">strictly confidential</div>
        </body>
      </Stamp>
    </SKOption>
  </SKDropdown>
</sax_S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9E37-372E-4FC0-AED0-B40A54897367}">
  <ds:schemaRefs>
    <ds:schemaRef ds:uri="http://www.sax.eu/ML/sax_SK"/>
  </ds:schemaRefs>
</ds:datastoreItem>
</file>

<file path=customXml/itemProps2.xml><?xml version="1.0" encoding="utf-8"?>
<ds:datastoreItem xmlns:ds="http://schemas.openxmlformats.org/officeDocument/2006/customXml" ds:itemID="{3A15A595-C463-4C30-80D2-4CB6CA3A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7931</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MAHLE</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Manuela Hoehne</cp:lastModifiedBy>
  <cp:revision>9</cp:revision>
  <cp:lastPrinted>2021-08-31T08:47:00Z</cp:lastPrinted>
  <dcterms:created xsi:type="dcterms:W3CDTF">2021-08-30T07:20:00Z</dcterms:created>
  <dcterms:modified xsi:type="dcterms:W3CDTF">2021-08-31T09:32:00Z</dcterms:modified>
</cp:coreProperties>
</file>